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215" w:rsidRPr="00950D79" w:rsidRDefault="00950D79" w:rsidP="001E34D5">
      <w:pPr>
        <w:pStyle w:val="Subtitle"/>
        <w:spacing w:after="0"/>
        <w:rPr>
          <w:b/>
          <w:i w:val="0"/>
          <w:sz w:val="32"/>
          <w:szCs w:val="32"/>
        </w:rPr>
      </w:pPr>
      <w:r w:rsidRPr="00950D79">
        <w:rPr>
          <w:b/>
          <w:i w:val="0"/>
          <w:sz w:val="32"/>
          <w:szCs w:val="32"/>
        </w:rPr>
        <w:t>Climate</w:t>
      </w:r>
      <w:bookmarkStart w:id="0" w:name="_GoBack"/>
      <w:bookmarkEnd w:id="0"/>
      <w:r w:rsidRPr="00950D79">
        <w:rPr>
          <w:b/>
          <w:i w:val="0"/>
          <w:sz w:val="32"/>
          <w:szCs w:val="32"/>
        </w:rPr>
        <w:t xml:space="preserve"> Sensitivity</w:t>
      </w:r>
      <w:r>
        <w:rPr>
          <w:b/>
          <w:i w:val="0"/>
          <w:sz w:val="32"/>
          <w:szCs w:val="32"/>
        </w:rPr>
        <w:t xml:space="preserve"> by </w:t>
      </w:r>
      <w:r w:rsidRPr="00950D79">
        <w:rPr>
          <w:b/>
          <w:i w:val="0"/>
          <w:sz w:val="32"/>
          <w:szCs w:val="32"/>
        </w:rPr>
        <w:t>Energy Balance</w:t>
      </w:r>
      <w:r w:rsidR="00D43898">
        <w:rPr>
          <w:b/>
          <w:i w:val="0"/>
          <w:sz w:val="32"/>
          <w:szCs w:val="32"/>
        </w:rPr>
        <w:t xml:space="preserve"> with Urban and Natural Warming</w:t>
      </w:r>
      <w:r w:rsidR="00D07CCA">
        <w:rPr>
          <w:b/>
          <w:i w:val="0"/>
          <w:sz w:val="32"/>
          <w:szCs w:val="32"/>
        </w:rPr>
        <w:t xml:space="preserve">                </w:t>
      </w:r>
    </w:p>
    <w:p w:rsidR="00887395" w:rsidRDefault="00887395" w:rsidP="001E34D5">
      <w:pPr>
        <w:pStyle w:val="Subtitle"/>
        <w:spacing w:after="0"/>
        <w:rPr>
          <w:b/>
        </w:rPr>
      </w:pPr>
    </w:p>
    <w:p w:rsidR="00FF1FD6" w:rsidRPr="001E34D5" w:rsidRDefault="001E34D5" w:rsidP="001E34D5">
      <w:pPr>
        <w:pStyle w:val="Subtitle"/>
        <w:spacing w:after="0"/>
        <w:rPr>
          <w:b/>
          <w:i w:val="0"/>
          <w:color w:val="53548A" w:themeColor="accent1"/>
        </w:rPr>
      </w:pPr>
      <w:r w:rsidRPr="001E34D5">
        <w:rPr>
          <w:b/>
        </w:rPr>
        <w:t xml:space="preserve">By </w:t>
      </w:r>
      <w:r w:rsidR="00950D79">
        <w:rPr>
          <w:b/>
        </w:rPr>
        <w:t>Ken Gregory, P.Eng.</w:t>
      </w:r>
      <w:r w:rsidR="009B7F53">
        <w:rPr>
          <w:b/>
        </w:rPr>
        <w:tab/>
      </w:r>
      <w:r w:rsidR="009B7F53">
        <w:rPr>
          <w:b/>
        </w:rPr>
        <w:tab/>
      </w:r>
      <w:r w:rsidR="009B7F53">
        <w:rPr>
          <w:b/>
        </w:rPr>
        <w:tab/>
      </w:r>
      <w:r w:rsidR="009B7F53">
        <w:rPr>
          <w:b/>
        </w:rPr>
        <w:tab/>
      </w:r>
      <w:r w:rsidR="009B7F53">
        <w:rPr>
          <w:b/>
          <w:sz w:val="28"/>
          <w:szCs w:val="28"/>
        </w:rPr>
        <w:tab/>
      </w:r>
      <w:r w:rsidR="00500E56">
        <w:rPr>
          <w:b/>
          <w:sz w:val="28"/>
          <w:szCs w:val="28"/>
        </w:rPr>
        <w:t>20</w:t>
      </w:r>
      <w:r w:rsidR="00B60E94">
        <w:rPr>
          <w:b/>
          <w:sz w:val="28"/>
          <w:szCs w:val="28"/>
        </w:rPr>
        <w:t>20</w:t>
      </w:r>
      <w:r w:rsidR="00500E56">
        <w:rPr>
          <w:b/>
          <w:sz w:val="28"/>
          <w:szCs w:val="28"/>
        </w:rPr>
        <w:t>-</w:t>
      </w:r>
      <w:r w:rsidR="00950D79">
        <w:rPr>
          <w:b/>
          <w:sz w:val="28"/>
          <w:szCs w:val="28"/>
        </w:rPr>
        <w:t>0</w:t>
      </w:r>
      <w:r w:rsidR="00B60E94">
        <w:rPr>
          <w:b/>
          <w:sz w:val="28"/>
          <w:szCs w:val="28"/>
        </w:rPr>
        <w:t>6</w:t>
      </w:r>
      <w:r w:rsidR="00500E56">
        <w:rPr>
          <w:b/>
          <w:sz w:val="28"/>
          <w:szCs w:val="28"/>
        </w:rPr>
        <w:t>-</w:t>
      </w:r>
      <w:r w:rsidR="00CD3320">
        <w:rPr>
          <w:b/>
          <w:sz w:val="28"/>
          <w:szCs w:val="28"/>
        </w:rPr>
        <w:t>1</w:t>
      </w:r>
      <w:r w:rsidR="009C197E">
        <w:rPr>
          <w:b/>
          <w:sz w:val="28"/>
          <w:szCs w:val="28"/>
        </w:rPr>
        <w:t>4</w:t>
      </w:r>
    </w:p>
    <w:p w:rsidR="00196B77" w:rsidRPr="00754084" w:rsidRDefault="00196B77" w:rsidP="00F92BB1">
      <w:pPr>
        <w:jc w:val="both"/>
        <w:rPr>
          <w:rFonts w:ascii="Arial" w:eastAsia="Calibri" w:hAnsi="Arial" w:cs="Arial"/>
          <w:sz w:val="22"/>
          <w:szCs w:val="22"/>
        </w:rPr>
      </w:pPr>
    </w:p>
    <w:p w:rsidR="004707E9" w:rsidRDefault="00950D79" w:rsidP="00F92BB1">
      <w:pPr>
        <w:jc w:val="both"/>
        <w:rPr>
          <w:rFonts w:ascii="Arial" w:eastAsia="Calibri" w:hAnsi="Arial" w:cs="Arial"/>
          <w:sz w:val="22"/>
          <w:szCs w:val="22"/>
        </w:rPr>
      </w:pPr>
      <w:r>
        <w:rPr>
          <w:rFonts w:ascii="Arial" w:eastAsia="Calibri" w:hAnsi="Arial" w:cs="Arial"/>
          <w:sz w:val="22"/>
          <w:szCs w:val="22"/>
        </w:rPr>
        <w:t>The sensitivity of the Earth’s climate to increasing concentrations of greenhouse gases</w:t>
      </w:r>
      <w:r w:rsidR="003A7EB6">
        <w:rPr>
          <w:rFonts w:ascii="Arial" w:eastAsia="Calibri" w:hAnsi="Arial" w:cs="Arial"/>
          <w:sz w:val="22"/>
          <w:szCs w:val="22"/>
        </w:rPr>
        <w:t xml:space="preserve"> (GHG)</w:t>
      </w:r>
      <w:r>
        <w:rPr>
          <w:rFonts w:ascii="Arial" w:eastAsia="Calibri" w:hAnsi="Arial" w:cs="Arial"/>
          <w:sz w:val="22"/>
          <w:szCs w:val="22"/>
        </w:rPr>
        <w:t xml:space="preserve"> is the most important parameter in climate science</w:t>
      </w:r>
      <w:r w:rsidR="00CB31BD">
        <w:rPr>
          <w:rFonts w:ascii="Arial" w:eastAsia="Calibri" w:hAnsi="Arial" w:cs="Arial"/>
          <w:sz w:val="22"/>
          <w:szCs w:val="22"/>
        </w:rPr>
        <w:t xml:space="preserve">. </w:t>
      </w:r>
      <w:r w:rsidR="00C51034" w:rsidRPr="000E1259">
        <w:rPr>
          <w:rFonts w:ascii="Arial" w:eastAsia="Calibri" w:hAnsi="Arial" w:cs="Arial"/>
          <w:sz w:val="22"/>
          <w:szCs w:val="22"/>
        </w:rPr>
        <w:t>Climatologist</w:t>
      </w:r>
      <w:r w:rsidR="00CB31BD">
        <w:rPr>
          <w:rFonts w:ascii="Arial" w:eastAsia="Calibri" w:hAnsi="Arial" w:cs="Arial"/>
          <w:sz w:val="22"/>
          <w:szCs w:val="22"/>
        </w:rPr>
        <w:t>s</w:t>
      </w:r>
      <w:r w:rsidR="00C51034" w:rsidRPr="000E1259">
        <w:rPr>
          <w:rFonts w:ascii="Arial" w:eastAsia="Calibri" w:hAnsi="Arial" w:cs="Arial"/>
          <w:sz w:val="22"/>
          <w:szCs w:val="22"/>
        </w:rPr>
        <w:t xml:space="preserve"> Nic</w:t>
      </w:r>
      <w:r w:rsidR="00C51034">
        <w:rPr>
          <w:rFonts w:ascii="Arial" w:eastAsia="Calibri" w:hAnsi="Arial" w:cs="Arial"/>
          <w:sz w:val="22"/>
          <w:szCs w:val="22"/>
        </w:rPr>
        <w:t>holas</w:t>
      </w:r>
      <w:r w:rsidR="00C51034" w:rsidRPr="000E1259">
        <w:rPr>
          <w:rFonts w:ascii="Arial" w:eastAsia="Calibri" w:hAnsi="Arial" w:cs="Arial"/>
          <w:sz w:val="22"/>
          <w:szCs w:val="22"/>
        </w:rPr>
        <w:t xml:space="preserve"> Lewis </w:t>
      </w:r>
      <w:r w:rsidR="00CB31BD">
        <w:rPr>
          <w:rFonts w:ascii="Arial" w:eastAsia="Calibri" w:hAnsi="Arial" w:cs="Arial"/>
          <w:sz w:val="22"/>
          <w:szCs w:val="22"/>
        </w:rPr>
        <w:t xml:space="preserve">and Dr. Judith Curry published a </w:t>
      </w:r>
      <w:r w:rsidR="00CB31BD" w:rsidRPr="00816D24">
        <w:rPr>
          <w:rFonts w:ascii="Arial" w:eastAsia="Calibri" w:hAnsi="Arial" w:cs="Arial"/>
          <w:sz w:val="22"/>
          <w:szCs w:val="22"/>
        </w:rPr>
        <w:t>paper</w:t>
      </w:r>
      <w:r w:rsidR="00CB31BD">
        <w:rPr>
          <w:rFonts w:ascii="Arial" w:eastAsia="Calibri" w:hAnsi="Arial" w:cs="Arial"/>
          <w:sz w:val="22"/>
          <w:szCs w:val="22"/>
        </w:rPr>
        <w:t xml:space="preserve"> in the Journal of Climate in 2018 (LC2018)</w:t>
      </w:r>
      <w:r w:rsidR="00043E8C">
        <w:rPr>
          <w:rStyle w:val="FootnoteReference"/>
          <w:rFonts w:ascii="Arial" w:eastAsia="Calibri" w:hAnsi="Arial" w:cs="Arial"/>
          <w:sz w:val="22"/>
          <w:szCs w:val="22"/>
        </w:rPr>
        <w:footnoteReference w:id="2"/>
      </w:r>
      <w:r w:rsidR="00CB31BD">
        <w:rPr>
          <w:rFonts w:ascii="Arial" w:eastAsia="Calibri" w:hAnsi="Arial" w:cs="Arial"/>
          <w:sz w:val="22"/>
          <w:szCs w:val="22"/>
        </w:rPr>
        <w:t xml:space="preserve"> that </w:t>
      </w:r>
      <w:r w:rsidR="00C51034" w:rsidRPr="000E1259">
        <w:rPr>
          <w:rFonts w:ascii="Arial" w:eastAsia="Calibri" w:hAnsi="Arial" w:cs="Arial"/>
          <w:sz w:val="22"/>
          <w:szCs w:val="22"/>
        </w:rPr>
        <w:t>us</w:t>
      </w:r>
      <w:r w:rsidR="00C51034">
        <w:rPr>
          <w:rFonts w:ascii="Arial" w:eastAsia="Calibri" w:hAnsi="Arial" w:cs="Arial"/>
          <w:sz w:val="22"/>
          <w:szCs w:val="22"/>
        </w:rPr>
        <w:t>ed</w:t>
      </w:r>
      <w:r w:rsidR="00C51034" w:rsidRPr="000E1259">
        <w:rPr>
          <w:rFonts w:ascii="Arial" w:eastAsia="Calibri" w:hAnsi="Arial" w:cs="Arial"/>
          <w:sz w:val="22"/>
          <w:szCs w:val="22"/>
        </w:rPr>
        <w:t xml:space="preserve"> </w:t>
      </w:r>
      <w:r w:rsidR="00CB31BD">
        <w:rPr>
          <w:rFonts w:ascii="Arial" w:eastAsia="Calibri" w:hAnsi="Arial" w:cs="Arial"/>
          <w:sz w:val="22"/>
          <w:szCs w:val="22"/>
        </w:rPr>
        <w:t>the</w:t>
      </w:r>
      <w:r w:rsidR="00C51034" w:rsidRPr="000E1259">
        <w:rPr>
          <w:rFonts w:ascii="Arial" w:eastAsia="Calibri" w:hAnsi="Arial" w:cs="Arial"/>
          <w:sz w:val="22"/>
          <w:szCs w:val="22"/>
        </w:rPr>
        <w:t xml:space="preserve"> </w:t>
      </w:r>
      <w:r w:rsidR="00441BCB" w:rsidRPr="00441BCB">
        <w:rPr>
          <w:rFonts w:ascii="Arial" w:eastAsia="Calibri" w:hAnsi="Arial" w:cs="Arial"/>
          <w:sz w:val="22"/>
          <w:szCs w:val="22"/>
        </w:rPr>
        <w:t xml:space="preserve">observationally-based </w:t>
      </w:r>
      <w:r w:rsidR="00C51034" w:rsidRPr="000E1259">
        <w:rPr>
          <w:rFonts w:ascii="Arial" w:eastAsia="Calibri" w:hAnsi="Arial" w:cs="Arial"/>
          <w:sz w:val="22"/>
          <w:szCs w:val="22"/>
        </w:rPr>
        <w:t xml:space="preserve">energy balance method </w:t>
      </w:r>
      <w:r w:rsidR="00C51034">
        <w:rPr>
          <w:rFonts w:ascii="Arial" w:eastAsia="Calibri" w:hAnsi="Arial" w:cs="Arial"/>
          <w:sz w:val="22"/>
          <w:szCs w:val="22"/>
        </w:rPr>
        <w:t xml:space="preserve">to </w:t>
      </w:r>
      <w:r w:rsidR="00C51034" w:rsidRPr="000E1259">
        <w:rPr>
          <w:rFonts w:ascii="Arial" w:eastAsia="Calibri" w:hAnsi="Arial" w:cs="Arial"/>
          <w:sz w:val="22"/>
          <w:szCs w:val="22"/>
        </w:rPr>
        <w:t xml:space="preserve">estimate </w:t>
      </w:r>
      <w:r w:rsidR="00C51034">
        <w:rPr>
          <w:rFonts w:ascii="Arial" w:eastAsia="Calibri" w:hAnsi="Arial" w:cs="Arial"/>
          <w:sz w:val="22"/>
          <w:szCs w:val="22"/>
        </w:rPr>
        <w:t xml:space="preserve">the </w:t>
      </w:r>
      <w:r w:rsidR="00C51034" w:rsidRPr="000E1259">
        <w:rPr>
          <w:rFonts w:ascii="Arial" w:eastAsia="Calibri" w:hAnsi="Arial" w:cs="Arial"/>
          <w:sz w:val="22"/>
          <w:szCs w:val="22"/>
        </w:rPr>
        <w:t xml:space="preserve">Equilibrium Climate Sensitivity (ECS) </w:t>
      </w:r>
      <w:r w:rsidR="00CB31BD">
        <w:rPr>
          <w:rFonts w:ascii="Arial" w:eastAsia="Calibri" w:hAnsi="Arial" w:cs="Arial"/>
          <w:sz w:val="22"/>
          <w:szCs w:val="22"/>
        </w:rPr>
        <w:t>a</w:t>
      </w:r>
      <w:r w:rsidR="004707E9">
        <w:rPr>
          <w:rFonts w:ascii="Arial" w:eastAsia="Calibri" w:hAnsi="Arial" w:cs="Arial"/>
          <w:sz w:val="22"/>
          <w:szCs w:val="22"/>
        </w:rPr>
        <w:t>nd the Transient Climate Respon</w:t>
      </w:r>
      <w:r w:rsidR="00CB31BD">
        <w:rPr>
          <w:rFonts w:ascii="Arial" w:eastAsia="Calibri" w:hAnsi="Arial" w:cs="Arial"/>
          <w:sz w:val="22"/>
          <w:szCs w:val="22"/>
        </w:rPr>
        <w:t>s</w:t>
      </w:r>
      <w:r w:rsidR="004707E9">
        <w:rPr>
          <w:rFonts w:ascii="Arial" w:eastAsia="Calibri" w:hAnsi="Arial" w:cs="Arial"/>
          <w:sz w:val="22"/>
          <w:szCs w:val="22"/>
        </w:rPr>
        <w:t>e</w:t>
      </w:r>
      <w:r w:rsidR="00CB31BD">
        <w:rPr>
          <w:rFonts w:ascii="Arial" w:eastAsia="Calibri" w:hAnsi="Arial" w:cs="Arial"/>
          <w:sz w:val="22"/>
          <w:szCs w:val="22"/>
        </w:rPr>
        <w:t xml:space="preserve"> (TCR).</w:t>
      </w:r>
      <w:r w:rsidR="00CE2719">
        <w:rPr>
          <w:rFonts w:ascii="Arial" w:eastAsia="Calibri" w:hAnsi="Arial" w:cs="Arial"/>
          <w:sz w:val="22"/>
          <w:szCs w:val="22"/>
        </w:rPr>
        <w:t xml:space="preserve"> The ECS is the global average surface temperature change due to a doubling of CO</w:t>
      </w:r>
      <w:r w:rsidR="00CE2719" w:rsidRPr="00006DBB">
        <w:rPr>
          <w:rFonts w:ascii="Arial" w:eastAsia="Calibri" w:hAnsi="Arial" w:cs="Arial"/>
          <w:sz w:val="22"/>
          <w:szCs w:val="22"/>
          <w:vertAlign w:val="subscript"/>
        </w:rPr>
        <w:t>2</w:t>
      </w:r>
      <w:r w:rsidR="00CE2719">
        <w:rPr>
          <w:rFonts w:ascii="Arial" w:eastAsia="Calibri" w:hAnsi="Arial" w:cs="Arial"/>
          <w:sz w:val="22"/>
          <w:szCs w:val="22"/>
        </w:rPr>
        <w:t xml:space="preserve"> after allowing the oceans to reach temperature equilibrium, which takes about </w:t>
      </w:r>
      <w:r w:rsidR="009B17A7">
        <w:rPr>
          <w:rFonts w:ascii="Arial" w:eastAsia="Calibri" w:hAnsi="Arial" w:cs="Arial"/>
          <w:sz w:val="22"/>
          <w:szCs w:val="22"/>
        </w:rPr>
        <w:t>1</w:t>
      </w:r>
      <w:r w:rsidR="00CE2719">
        <w:rPr>
          <w:rFonts w:ascii="Arial" w:eastAsia="Calibri" w:hAnsi="Arial" w:cs="Arial"/>
          <w:sz w:val="22"/>
          <w:szCs w:val="22"/>
        </w:rPr>
        <w:t>500 years</w:t>
      </w:r>
      <w:r w:rsidR="00043E8C">
        <w:rPr>
          <w:rFonts w:ascii="Arial" w:eastAsia="Calibri" w:hAnsi="Arial" w:cs="Arial"/>
          <w:sz w:val="22"/>
          <w:szCs w:val="22"/>
        </w:rPr>
        <w:t xml:space="preserve"> for the </w:t>
      </w:r>
      <w:r w:rsidR="00043E8C" w:rsidRPr="00043E8C">
        <w:rPr>
          <w:rFonts w:ascii="Arial" w:eastAsia="Calibri" w:hAnsi="Arial" w:cs="Arial"/>
          <w:sz w:val="22"/>
          <w:szCs w:val="22"/>
        </w:rPr>
        <w:t>upper 3 km of the ocean</w:t>
      </w:r>
      <w:r w:rsidR="00CE2719">
        <w:rPr>
          <w:rFonts w:ascii="Arial" w:eastAsia="Calibri" w:hAnsi="Arial" w:cs="Arial"/>
          <w:sz w:val="22"/>
          <w:szCs w:val="22"/>
        </w:rPr>
        <w:t>.</w:t>
      </w:r>
      <w:r w:rsidR="00043E8C">
        <w:rPr>
          <w:rStyle w:val="FootnoteReference"/>
          <w:rFonts w:ascii="Arial" w:eastAsia="Calibri" w:hAnsi="Arial" w:cs="Arial"/>
          <w:sz w:val="22"/>
          <w:szCs w:val="22"/>
        </w:rPr>
        <w:footnoteReference w:id="3"/>
      </w:r>
      <w:r w:rsidR="00CE2719">
        <w:rPr>
          <w:rFonts w:ascii="Arial" w:eastAsia="Calibri" w:hAnsi="Arial" w:cs="Arial"/>
          <w:sz w:val="22"/>
          <w:szCs w:val="22"/>
        </w:rPr>
        <w:t xml:space="preserve"> </w:t>
      </w:r>
      <w:r w:rsidR="004707E9">
        <w:rPr>
          <w:rFonts w:ascii="Arial" w:eastAsia="Calibri" w:hAnsi="Arial" w:cs="Arial"/>
          <w:sz w:val="22"/>
          <w:szCs w:val="22"/>
        </w:rPr>
        <w:t>The TCR is more relevant to climate policy as it is the global surface temperature change at the time of the CO</w:t>
      </w:r>
      <w:r w:rsidR="004707E9" w:rsidRPr="00006DBB">
        <w:rPr>
          <w:rFonts w:ascii="Arial" w:eastAsia="Calibri" w:hAnsi="Arial" w:cs="Arial"/>
          <w:sz w:val="22"/>
          <w:szCs w:val="22"/>
          <w:vertAlign w:val="subscript"/>
        </w:rPr>
        <w:t>2</w:t>
      </w:r>
      <w:r w:rsidR="004707E9">
        <w:rPr>
          <w:rFonts w:ascii="Arial" w:eastAsia="Calibri" w:hAnsi="Arial" w:cs="Arial"/>
          <w:sz w:val="22"/>
          <w:szCs w:val="22"/>
        </w:rPr>
        <w:t xml:space="preserve"> doubling assuming that the change in forcing takes place gradually </w:t>
      </w:r>
      <w:r w:rsidR="0020224E">
        <w:rPr>
          <w:rFonts w:ascii="Arial" w:eastAsia="Calibri" w:hAnsi="Arial" w:cs="Arial"/>
          <w:sz w:val="22"/>
          <w:szCs w:val="22"/>
        </w:rPr>
        <w:t xml:space="preserve">over at least 70 years, which it does for the base and final periods used. </w:t>
      </w:r>
      <w:r w:rsidR="004707E9">
        <w:rPr>
          <w:rFonts w:ascii="Arial" w:eastAsia="Calibri" w:hAnsi="Arial" w:cs="Arial"/>
          <w:sz w:val="22"/>
          <w:szCs w:val="22"/>
        </w:rPr>
        <w:t>A doubling of CO</w:t>
      </w:r>
      <w:r w:rsidR="004707E9" w:rsidRPr="00006DBB">
        <w:rPr>
          <w:rFonts w:ascii="Arial" w:eastAsia="Calibri" w:hAnsi="Arial" w:cs="Arial"/>
          <w:sz w:val="22"/>
          <w:szCs w:val="22"/>
          <w:vertAlign w:val="subscript"/>
        </w:rPr>
        <w:t>2</w:t>
      </w:r>
      <w:r w:rsidR="004707E9">
        <w:rPr>
          <w:rFonts w:ascii="Arial" w:eastAsia="Calibri" w:hAnsi="Arial" w:cs="Arial"/>
          <w:sz w:val="22"/>
          <w:szCs w:val="22"/>
        </w:rPr>
        <w:t xml:space="preserve"> at the current </w:t>
      </w:r>
      <w:r w:rsidR="00503EF1">
        <w:rPr>
          <w:rFonts w:ascii="Arial" w:eastAsia="Calibri" w:hAnsi="Arial" w:cs="Arial"/>
          <w:sz w:val="22"/>
          <w:szCs w:val="22"/>
        </w:rPr>
        <w:t xml:space="preserve">exponential </w:t>
      </w:r>
      <w:r w:rsidR="004707E9">
        <w:rPr>
          <w:rFonts w:ascii="Arial" w:eastAsia="Calibri" w:hAnsi="Arial" w:cs="Arial"/>
          <w:sz w:val="22"/>
          <w:szCs w:val="22"/>
        </w:rPr>
        <w:t>growth rate of 0.</w:t>
      </w:r>
      <w:r w:rsidR="003A7EB6">
        <w:rPr>
          <w:rFonts w:ascii="Arial" w:eastAsia="Calibri" w:hAnsi="Arial" w:cs="Arial"/>
          <w:sz w:val="22"/>
          <w:szCs w:val="22"/>
        </w:rPr>
        <w:t>60</w:t>
      </w:r>
      <w:r w:rsidR="004707E9">
        <w:rPr>
          <w:rFonts w:ascii="Arial" w:eastAsia="Calibri" w:hAnsi="Arial" w:cs="Arial"/>
          <w:sz w:val="22"/>
          <w:szCs w:val="22"/>
        </w:rPr>
        <w:t>%/year would take 1</w:t>
      </w:r>
      <w:r w:rsidR="003A7EB6">
        <w:rPr>
          <w:rFonts w:ascii="Arial" w:eastAsia="Calibri" w:hAnsi="Arial" w:cs="Arial"/>
          <w:sz w:val="22"/>
          <w:szCs w:val="22"/>
        </w:rPr>
        <w:t>1</w:t>
      </w:r>
      <w:r w:rsidR="004707E9">
        <w:rPr>
          <w:rFonts w:ascii="Arial" w:eastAsia="Calibri" w:hAnsi="Arial" w:cs="Arial"/>
          <w:sz w:val="22"/>
          <w:szCs w:val="22"/>
        </w:rPr>
        <w:t>6 years.</w:t>
      </w:r>
      <w:r w:rsidR="0020224E">
        <w:rPr>
          <w:rFonts w:ascii="Arial" w:eastAsia="Calibri" w:hAnsi="Arial" w:cs="Arial"/>
          <w:sz w:val="22"/>
          <w:szCs w:val="22"/>
        </w:rPr>
        <w:t xml:space="preserve"> </w:t>
      </w:r>
    </w:p>
    <w:p w:rsidR="006A24A6" w:rsidRDefault="00CC6703" w:rsidP="00F92BB1">
      <w:pPr>
        <w:jc w:val="both"/>
        <w:rPr>
          <w:rFonts w:ascii="Arial" w:eastAsia="Calibri" w:hAnsi="Arial" w:cs="Arial"/>
          <w:sz w:val="22"/>
          <w:szCs w:val="22"/>
        </w:rPr>
      </w:pPr>
      <w:r>
        <w:rPr>
          <w:rFonts w:ascii="Arial" w:eastAsia="Calibri" w:hAnsi="Arial" w:cs="Arial"/>
          <w:sz w:val="22"/>
          <w:szCs w:val="22"/>
        </w:rPr>
        <w:t>The LC2018 paper states “</w:t>
      </w:r>
      <w:r w:rsidRPr="00CC6703">
        <w:rPr>
          <w:rFonts w:ascii="Arial" w:eastAsia="Calibri" w:hAnsi="Arial" w:cs="Arial"/>
          <w:sz w:val="22"/>
          <w:szCs w:val="22"/>
        </w:rPr>
        <w:t>The energy budget framework provides</w:t>
      </w:r>
      <w:r>
        <w:rPr>
          <w:rFonts w:ascii="Arial" w:eastAsia="Calibri" w:hAnsi="Arial" w:cs="Arial"/>
          <w:sz w:val="22"/>
          <w:szCs w:val="22"/>
        </w:rPr>
        <w:t xml:space="preserve"> </w:t>
      </w:r>
      <w:r w:rsidRPr="00CC6703">
        <w:rPr>
          <w:rFonts w:ascii="Arial" w:eastAsia="Calibri" w:hAnsi="Arial" w:cs="Arial"/>
          <w:sz w:val="22"/>
          <w:szCs w:val="22"/>
        </w:rPr>
        <w:t>an extremely simple physically-based</w:t>
      </w:r>
      <w:r>
        <w:rPr>
          <w:rFonts w:ascii="Arial" w:eastAsia="Calibri" w:hAnsi="Arial" w:cs="Arial"/>
          <w:sz w:val="22"/>
          <w:szCs w:val="22"/>
        </w:rPr>
        <w:t xml:space="preserve"> </w:t>
      </w:r>
      <w:r w:rsidRPr="00CC6703">
        <w:rPr>
          <w:rFonts w:ascii="Arial" w:eastAsia="Calibri" w:hAnsi="Arial" w:cs="Arial"/>
          <w:sz w:val="22"/>
          <w:szCs w:val="22"/>
        </w:rPr>
        <w:t>climate model</w:t>
      </w:r>
      <w:r>
        <w:rPr>
          <w:rFonts w:ascii="Arial" w:eastAsia="Calibri" w:hAnsi="Arial" w:cs="Arial"/>
          <w:sz w:val="22"/>
          <w:szCs w:val="22"/>
        </w:rPr>
        <w:t xml:space="preserve"> </w:t>
      </w:r>
      <w:r w:rsidRPr="00CC6703">
        <w:rPr>
          <w:rFonts w:ascii="Arial" w:eastAsia="Calibri" w:hAnsi="Arial" w:cs="Arial"/>
          <w:sz w:val="22"/>
          <w:szCs w:val="22"/>
        </w:rPr>
        <w:t>that, given the assumptions made, follows directly from energy conservation.</w:t>
      </w:r>
      <w:r>
        <w:rPr>
          <w:rFonts w:ascii="Arial" w:eastAsia="Calibri" w:hAnsi="Arial" w:cs="Arial"/>
          <w:sz w:val="22"/>
          <w:szCs w:val="22"/>
        </w:rPr>
        <w:t xml:space="preserve">” </w:t>
      </w:r>
      <w:r w:rsidR="00CE2719">
        <w:rPr>
          <w:rFonts w:ascii="Arial" w:eastAsia="Calibri" w:hAnsi="Arial" w:cs="Arial"/>
          <w:sz w:val="22"/>
          <w:szCs w:val="22"/>
        </w:rPr>
        <w:t xml:space="preserve">The energy balance method relates the ECS and TCR to changes in the </w:t>
      </w:r>
      <w:r w:rsidR="004D4BAA">
        <w:rPr>
          <w:rFonts w:ascii="Arial" w:eastAsia="Calibri" w:hAnsi="Arial" w:cs="Arial"/>
          <w:sz w:val="22"/>
          <w:szCs w:val="22"/>
        </w:rPr>
        <w:t>global mean surface temperature</w:t>
      </w:r>
      <w:r w:rsidR="00CA0C0E">
        <w:rPr>
          <w:rFonts w:ascii="Arial" w:eastAsia="Calibri" w:hAnsi="Arial" w:cs="Arial"/>
          <w:sz w:val="22"/>
          <w:szCs w:val="22"/>
        </w:rPr>
        <w:t xml:space="preserve"> (GMST)</w:t>
      </w:r>
      <w:r w:rsidR="00CE2719">
        <w:rPr>
          <w:rFonts w:ascii="Arial" w:eastAsia="Calibri" w:hAnsi="Arial" w:cs="Arial"/>
          <w:sz w:val="22"/>
          <w:szCs w:val="22"/>
        </w:rPr>
        <w:t>, the effective radiative forcing and the planetary radiative imbalance between a base and final period.</w:t>
      </w:r>
      <w:r w:rsidR="004D4BAA">
        <w:rPr>
          <w:rStyle w:val="FootnoteReference"/>
          <w:rFonts w:ascii="Arial" w:eastAsia="Calibri" w:hAnsi="Arial" w:cs="Arial"/>
          <w:sz w:val="22"/>
          <w:szCs w:val="22"/>
        </w:rPr>
        <w:footnoteReference w:id="4"/>
      </w:r>
      <w:r w:rsidR="0020224E">
        <w:rPr>
          <w:rFonts w:ascii="Arial" w:eastAsia="Calibri" w:hAnsi="Arial" w:cs="Arial"/>
          <w:sz w:val="22"/>
          <w:szCs w:val="22"/>
        </w:rPr>
        <w:t xml:space="preserve"> </w:t>
      </w:r>
      <w:r w:rsidR="00DB2DE7" w:rsidRPr="00DB2DE7">
        <w:rPr>
          <w:rFonts w:ascii="Arial" w:eastAsia="Calibri" w:hAnsi="Arial" w:cs="Arial"/>
          <w:sz w:val="22"/>
          <w:szCs w:val="22"/>
        </w:rPr>
        <w:t>The radiative imbalance is the downward solar radiation net of albedo (reflection) less the upward longwave radiation from the surface and the atmosphere at the top of the atmosphere.</w:t>
      </w:r>
    </w:p>
    <w:p w:rsidR="00CE2719" w:rsidRDefault="00441BCB" w:rsidP="00F92BB1">
      <w:pPr>
        <w:jc w:val="both"/>
        <w:rPr>
          <w:rFonts w:ascii="Arial" w:eastAsia="Calibri" w:hAnsi="Arial" w:cs="Arial"/>
          <w:sz w:val="22"/>
          <w:szCs w:val="22"/>
        </w:rPr>
      </w:pPr>
      <w:r>
        <w:rPr>
          <w:rFonts w:ascii="Arial" w:eastAsia="Calibri" w:hAnsi="Arial" w:cs="Arial"/>
          <w:sz w:val="22"/>
          <w:szCs w:val="22"/>
        </w:rPr>
        <w:t>The surface temperature change is based on the HadCRUT4</w:t>
      </w:r>
      <w:r w:rsidR="00A374C9">
        <w:rPr>
          <w:rFonts w:ascii="Arial" w:eastAsia="Calibri" w:hAnsi="Arial" w:cs="Arial"/>
          <w:sz w:val="22"/>
          <w:szCs w:val="22"/>
        </w:rPr>
        <w:t>.5</w:t>
      </w:r>
      <w:r>
        <w:rPr>
          <w:rFonts w:ascii="Arial" w:eastAsia="Calibri" w:hAnsi="Arial" w:cs="Arial"/>
          <w:sz w:val="22"/>
          <w:szCs w:val="22"/>
        </w:rPr>
        <w:t xml:space="preserve"> data set. </w:t>
      </w:r>
      <w:r w:rsidR="008D6B68">
        <w:rPr>
          <w:rFonts w:ascii="Arial" w:eastAsia="Calibri" w:hAnsi="Arial" w:cs="Arial"/>
          <w:sz w:val="22"/>
          <w:szCs w:val="22"/>
        </w:rPr>
        <w:t xml:space="preserve">LC2018 uses the </w:t>
      </w:r>
      <w:r w:rsidR="003A7EB6">
        <w:rPr>
          <w:rFonts w:ascii="Arial" w:eastAsia="Calibri" w:hAnsi="Arial" w:cs="Arial"/>
          <w:sz w:val="22"/>
          <w:szCs w:val="22"/>
        </w:rPr>
        <w:t xml:space="preserve">GHG </w:t>
      </w:r>
      <w:r w:rsidR="008D6B68">
        <w:rPr>
          <w:rFonts w:ascii="Arial" w:eastAsia="Calibri" w:hAnsi="Arial" w:cs="Arial"/>
          <w:sz w:val="22"/>
          <w:szCs w:val="22"/>
        </w:rPr>
        <w:t xml:space="preserve">forcings as estimated </w:t>
      </w:r>
      <w:r w:rsidR="007D4172">
        <w:rPr>
          <w:rFonts w:ascii="Arial" w:eastAsia="Calibri" w:hAnsi="Arial" w:cs="Arial"/>
          <w:sz w:val="22"/>
          <w:szCs w:val="22"/>
        </w:rPr>
        <w:t>in the</w:t>
      </w:r>
      <w:r w:rsidR="008D6B68">
        <w:rPr>
          <w:rFonts w:ascii="Arial" w:eastAsia="Calibri" w:hAnsi="Arial" w:cs="Arial"/>
          <w:sz w:val="22"/>
          <w:szCs w:val="22"/>
        </w:rPr>
        <w:t xml:space="preserve"> </w:t>
      </w:r>
      <w:r w:rsidR="007D4172">
        <w:rPr>
          <w:rFonts w:ascii="Arial" w:eastAsia="Calibri" w:hAnsi="Arial" w:cs="Arial"/>
          <w:sz w:val="22"/>
          <w:szCs w:val="22"/>
        </w:rPr>
        <w:t xml:space="preserve">fifth assessment report (AR5) of </w:t>
      </w:r>
      <w:r w:rsidR="008D6B68">
        <w:rPr>
          <w:rFonts w:ascii="Arial" w:eastAsia="Calibri" w:hAnsi="Arial" w:cs="Arial"/>
          <w:sz w:val="22"/>
          <w:szCs w:val="22"/>
        </w:rPr>
        <w:t xml:space="preserve">the </w:t>
      </w:r>
      <w:r w:rsidR="007D4172">
        <w:rPr>
          <w:rFonts w:ascii="Arial" w:eastAsia="Calibri" w:hAnsi="Arial" w:cs="Arial"/>
          <w:sz w:val="22"/>
          <w:szCs w:val="22"/>
        </w:rPr>
        <w:t>Intergovernmental Panel on Climate Change (</w:t>
      </w:r>
      <w:r w:rsidR="008D6B68">
        <w:rPr>
          <w:rFonts w:ascii="Arial" w:eastAsia="Calibri" w:hAnsi="Arial" w:cs="Arial"/>
          <w:sz w:val="22"/>
          <w:szCs w:val="22"/>
        </w:rPr>
        <w:t>IPCC</w:t>
      </w:r>
      <w:r w:rsidR="007D4172">
        <w:rPr>
          <w:rFonts w:ascii="Arial" w:eastAsia="Calibri" w:hAnsi="Arial" w:cs="Arial"/>
          <w:sz w:val="22"/>
          <w:szCs w:val="22"/>
        </w:rPr>
        <w:t>)</w:t>
      </w:r>
      <w:r w:rsidR="00951A04">
        <w:rPr>
          <w:rFonts w:ascii="Arial" w:eastAsia="Calibri" w:hAnsi="Arial" w:cs="Arial"/>
          <w:sz w:val="22"/>
          <w:szCs w:val="22"/>
        </w:rPr>
        <w:t>, except for an upward revision of the methane forcing</w:t>
      </w:r>
      <w:r w:rsidR="00335D63">
        <w:rPr>
          <w:rFonts w:ascii="Arial" w:eastAsia="Calibri" w:hAnsi="Arial" w:cs="Arial"/>
          <w:sz w:val="22"/>
          <w:szCs w:val="22"/>
        </w:rPr>
        <w:t xml:space="preserve">, </w:t>
      </w:r>
      <w:r w:rsidR="00985928">
        <w:rPr>
          <w:rFonts w:ascii="Arial" w:eastAsia="Calibri" w:hAnsi="Arial" w:cs="Arial"/>
          <w:sz w:val="22"/>
          <w:szCs w:val="22"/>
        </w:rPr>
        <w:t>an upward revision of the lower uncertainty bound of the</w:t>
      </w:r>
      <w:r w:rsidR="00335D63" w:rsidRPr="00335D63">
        <w:rPr>
          <w:rFonts w:ascii="Arial" w:eastAsia="Calibri" w:hAnsi="Arial" w:cs="Arial"/>
          <w:sz w:val="22"/>
          <w:szCs w:val="22"/>
        </w:rPr>
        <w:t xml:space="preserve"> aerosol forcing </w:t>
      </w:r>
      <w:r w:rsidR="006D1FC6">
        <w:rPr>
          <w:rFonts w:ascii="Arial" w:eastAsia="Calibri" w:hAnsi="Arial" w:cs="Arial"/>
          <w:sz w:val="22"/>
          <w:szCs w:val="22"/>
        </w:rPr>
        <w:t>and updating the forcings to 2016.</w:t>
      </w:r>
      <w:r w:rsidR="00A30B48">
        <w:rPr>
          <w:rFonts w:ascii="Arial" w:eastAsia="Calibri" w:hAnsi="Arial" w:cs="Arial"/>
          <w:sz w:val="22"/>
          <w:szCs w:val="22"/>
        </w:rPr>
        <w:t xml:space="preserve"> </w:t>
      </w:r>
      <w:r w:rsidRPr="00441BCB">
        <w:rPr>
          <w:rFonts w:ascii="Arial" w:eastAsia="Calibri" w:hAnsi="Arial" w:cs="Arial"/>
          <w:sz w:val="22"/>
          <w:szCs w:val="22"/>
        </w:rPr>
        <w:t>Earth's top-of-atmosphere radiative imbalance</w:t>
      </w:r>
      <w:r>
        <w:rPr>
          <w:rFonts w:ascii="Arial" w:eastAsia="Calibri" w:hAnsi="Arial" w:cs="Arial"/>
          <w:sz w:val="22"/>
          <w:szCs w:val="22"/>
        </w:rPr>
        <w:t xml:space="preserve"> is necessarily equal to the total heat uptake by the climate system, which is over 90% by the oceans. </w:t>
      </w:r>
      <w:r w:rsidR="00A374C9">
        <w:rPr>
          <w:rFonts w:ascii="Arial" w:eastAsia="Calibri" w:hAnsi="Arial" w:cs="Arial"/>
          <w:sz w:val="22"/>
          <w:szCs w:val="22"/>
        </w:rPr>
        <w:t xml:space="preserve">The </w:t>
      </w:r>
      <w:r w:rsidR="00A30B48">
        <w:rPr>
          <w:rFonts w:ascii="Arial" w:eastAsia="Calibri" w:hAnsi="Arial" w:cs="Arial"/>
          <w:sz w:val="22"/>
          <w:szCs w:val="22"/>
        </w:rPr>
        <w:t xml:space="preserve">preferred </w:t>
      </w:r>
      <w:r w:rsidR="00A374C9">
        <w:rPr>
          <w:rFonts w:ascii="Arial" w:eastAsia="Calibri" w:hAnsi="Arial" w:cs="Arial"/>
          <w:sz w:val="22"/>
          <w:szCs w:val="22"/>
        </w:rPr>
        <w:t xml:space="preserve">base </w:t>
      </w:r>
      <w:r w:rsidR="00985928" w:rsidRPr="002C6B43">
        <w:rPr>
          <w:rFonts w:ascii="Arial" w:eastAsia="Calibri" w:hAnsi="Arial" w:cs="Arial"/>
          <w:sz w:val="22"/>
          <w:szCs w:val="22"/>
        </w:rPr>
        <w:t xml:space="preserve">(1869-1882) </w:t>
      </w:r>
      <w:r w:rsidR="00A374C9">
        <w:rPr>
          <w:rFonts w:ascii="Arial" w:eastAsia="Calibri" w:hAnsi="Arial" w:cs="Arial"/>
          <w:sz w:val="22"/>
          <w:szCs w:val="22"/>
        </w:rPr>
        <w:t>and final periods</w:t>
      </w:r>
      <w:r w:rsidR="002016EE">
        <w:rPr>
          <w:rFonts w:ascii="Arial" w:eastAsia="Calibri" w:hAnsi="Arial" w:cs="Arial"/>
          <w:sz w:val="22"/>
          <w:szCs w:val="22"/>
        </w:rPr>
        <w:t xml:space="preserve"> (2007-2016)</w:t>
      </w:r>
      <w:r w:rsidR="00A374C9">
        <w:rPr>
          <w:rFonts w:ascii="Arial" w:eastAsia="Calibri" w:hAnsi="Arial" w:cs="Arial"/>
          <w:sz w:val="22"/>
          <w:szCs w:val="22"/>
        </w:rPr>
        <w:t xml:space="preserve"> were chosen to avoid </w:t>
      </w:r>
      <w:r w:rsidR="00AD7ABD">
        <w:rPr>
          <w:rFonts w:ascii="Arial" w:eastAsia="Calibri" w:hAnsi="Arial" w:cs="Arial"/>
          <w:sz w:val="22"/>
          <w:szCs w:val="22"/>
        </w:rPr>
        <w:t>the period of sparse temperature data before 18</w:t>
      </w:r>
      <w:r w:rsidR="00E87F02">
        <w:rPr>
          <w:rFonts w:ascii="Arial" w:eastAsia="Calibri" w:hAnsi="Arial" w:cs="Arial"/>
          <w:sz w:val="22"/>
          <w:szCs w:val="22"/>
        </w:rPr>
        <w:t>6</w:t>
      </w:r>
      <w:r w:rsidR="00AD7ABD">
        <w:rPr>
          <w:rFonts w:ascii="Arial" w:eastAsia="Calibri" w:hAnsi="Arial" w:cs="Arial"/>
          <w:sz w:val="22"/>
          <w:szCs w:val="22"/>
        </w:rPr>
        <w:t xml:space="preserve">9, </w:t>
      </w:r>
      <w:r w:rsidR="00AD7ABD">
        <w:rPr>
          <w:rFonts w:ascii="Arial" w:eastAsia="Calibri" w:hAnsi="Arial" w:cs="Arial"/>
          <w:sz w:val="22"/>
          <w:szCs w:val="22"/>
        </w:rPr>
        <w:lastRenderedPageBreak/>
        <w:t xml:space="preserve">avoid </w:t>
      </w:r>
      <w:r w:rsidR="00A374C9">
        <w:rPr>
          <w:rFonts w:ascii="Arial" w:eastAsia="Calibri" w:hAnsi="Arial" w:cs="Arial"/>
          <w:sz w:val="22"/>
          <w:szCs w:val="22"/>
        </w:rPr>
        <w:t>significant volcanism</w:t>
      </w:r>
      <w:r w:rsidR="00AD7ABD">
        <w:rPr>
          <w:rFonts w:ascii="Arial" w:eastAsia="Calibri" w:hAnsi="Arial" w:cs="Arial"/>
          <w:sz w:val="22"/>
          <w:szCs w:val="22"/>
        </w:rPr>
        <w:t xml:space="preserve"> and to have the largest change in forcing so to give the narrowest uncertainty ranges.</w:t>
      </w:r>
      <w:r w:rsidR="0026684C">
        <w:rPr>
          <w:rFonts w:ascii="Arial" w:eastAsia="Calibri" w:hAnsi="Arial" w:cs="Arial"/>
          <w:sz w:val="22"/>
          <w:szCs w:val="22"/>
        </w:rPr>
        <w:t xml:space="preserve"> </w:t>
      </w:r>
      <w:r w:rsidR="0026684C" w:rsidRPr="0026684C">
        <w:rPr>
          <w:rFonts w:ascii="Arial" w:eastAsia="Calibri" w:hAnsi="Arial" w:cs="Arial"/>
          <w:sz w:val="22"/>
          <w:szCs w:val="22"/>
        </w:rPr>
        <w:t>The long time between these periods averag</w:t>
      </w:r>
      <w:r w:rsidR="0026684C">
        <w:rPr>
          <w:rFonts w:ascii="Arial" w:eastAsia="Calibri" w:hAnsi="Arial" w:cs="Arial"/>
          <w:sz w:val="22"/>
          <w:szCs w:val="22"/>
        </w:rPr>
        <w:t>es</w:t>
      </w:r>
      <w:r w:rsidR="0026684C" w:rsidRPr="0026684C">
        <w:rPr>
          <w:rFonts w:ascii="Arial" w:eastAsia="Calibri" w:hAnsi="Arial" w:cs="Arial"/>
          <w:sz w:val="22"/>
          <w:szCs w:val="22"/>
        </w:rPr>
        <w:t xml:space="preserve"> out the </w:t>
      </w:r>
      <w:r w:rsidR="0026684C">
        <w:rPr>
          <w:rFonts w:ascii="Arial" w:eastAsia="Calibri" w:hAnsi="Arial" w:cs="Arial"/>
          <w:sz w:val="22"/>
          <w:szCs w:val="22"/>
        </w:rPr>
        <w:t xml:space="preserve">temperature </w:t>
      </w:r>
      <w:r w:rsidR="0026684C" w:rsidRPr="0026684C">
        <w:rPr>
          <w:rFonts w:ascii="Arial" w:eastAsia="Calibri" w:hAnsi="Arial" w:cs="Arial"/>
          <w:sz w:val="22"/>
          <w:szCs w:val="22"/>
        </w:rPr>
        <w:t>effect</w:t>
      </w:r>
      <w:r w:rsidR="0026684C">
        <w:rPr>
          <w:rFonts w:ascii="Arial" w:eastAsia="Calibri" w:hAnsi="Arial" w:cs="Arial"/>
          <w:sz w:val="22"/>
          <w:szCs w:val="22"/>
        </w:rPr>
        <w:t>s</w:t>
      </w:r>
      <w:r w:rsidR="0026684C" w:rsidRPr="0026684C">
        <w:rPr>
          <w:rFonts w:ascii="Arial" w:eastAsia="Calibri" w:hAnsi="Arial" w:cs="Arial"/>
          <w:sz w:val="22"/>
          <w:szCs w:val="22"/>
        </w:rPr>
        <w:t xml:space="preserve"> of short-term ocean oscillations such as the </w:t>
      </w:r>
      <w:r w:rsidR="00FA6A54">
        <w:rPr>
          <w:rFonts w:ascii="Arial" w:eastAsia="Calibri" w:hAnsi="Arial" w:cs="Arial"/>
          <w:sz w:val="22"/>
          <w:szCs w:val="22"/>
        </w:rPr>
        <w:t xml:space="preserve">ENSO, the </w:t>
      </w:r>
      <w:r w:rsidR="0026684C" w:rsidRPr="0026684C">
        <w:rPr>
          <w:rFonts w:ascii="Arial" w:eastAsia="Calibri" w:hAnsi="Arial" w:cs="Arial"/>
          <w:sz w:val="22"/>
          <w:szCs w:val="22"/>
        </w:rPr>
        <w:t>Atlantic Multi-decadal Oscillation and the Pacific Decadal Oscillation</w:t>
      </w:r>
      <w:r w:rsidR="0026684C">
        <w:rPr>
          <w:rFonts w:ascii="Arial" w:eastAsia="Calibri" w:hAnsi="Arial" w:cs="Arial"/>
          <w:sz w:val="22"/>
          <w:szCs w:val="22"/>
        </w:rPr>
        <w:t>.</w:t>
      </w:r>
    </w:p>
    <w:p w:rsidR="002C6B43" w:rsidRDefault="00951A04" w:rsidP="00F92BB1">
      <w:pPr>
        <w:jc w:val="both"/>
        <w:rPr>
          <w:rFonts w:ascii="Arial" w:eastAsia="Calibri" w:hAnsi="Arial" w:cs="Arial"/>
          <w:sz w:val="22"/>
          <w:szCs w:val="22"/>
        </w:rPr>
      </w:pPr>
      <w:r>
        <w:rPr>
          <w:rFonts w:ascii="Arial" w:eastAsia="Calibri" w:hAnsi="Arial" w:cs="Arial"/>
          <w:sz w:val="22"/>
          <w:szCs w:val="22"/>
        </w:rPr>
        <w:t>The energy balance method employed by LC2018 is deficient</w:t>
      </w:r>
      <w:r w:rsidR="00FA6A54">
        <w:rPr>
          <w:rStyle w:val="FootnoteReference"/>
          <w:rFonts w:ascii="Arial" w:eastAsia="Calibri" w:hAnsi="Arial" w:cs="Arial"/>
          <w:sz w:val="22"/>
          <w:szCs w:val="22"/>
        </w:rPr>
        <w:footnoteReference w:id="5"/>
      </w:r>
      <w:r>
        <w:rPr>
          <w:rFonts w:ascii="Arial" w:eastAsia="Calibri" w:hAnsi="Arial" w:cs="Arial"/>
          <w:sz w:val="22"/>
          <w:szCs w:val="22"/>
        </w:rPr>
        <w:t xml:space="preserve"> </w:t>
      </w:r>
      <w:r w:rsidR="00A374C9">
        <w:rPr>
          <w:rFonts w:ascii="Arial" w:eastAsia="Calibri" w:hAnsi="Arial" w:cs="Arial"/>
          <w:sz w:val="22"/>
          <w:szCs w:val="22"/>
        </w:rPr>
        <w:t xml:space="preserve">for two reasons; </w:t>
      </w:r>
    </w:p>
    <w:p w:rsidR="002C6B43" w:rsidRPr="002C6B43" w:rsidRDefault="00A374C9" w:rsidP="002C6B43">
      <w:pPr>
        <w:pStyle w:val="ListParagraph"/>
        <w:numPr>
          <w:ilvl w:val="0"/>
          <w:numId w:val="39"/>
        </w:numPr>
        <w:jc w:val="both"/>
        <w:rPr>
          <w:rFonts w:ascii="Arial" w:eastAsia="Calibri" w:hAnsi="Arial" w:cs="Arial"/>
          <w:sz w:val="22"/>
          <w:szCs w:val="22"/>
        </w:rPr>
      </w:pPr>
      <w:r w:rsidRPr="002C6B43">
        <w:rPr>
          <w:rFonts w:ascii="Arial" w:eastAsia="Calibri" w:hAnsi="Arial" w:cs="Arial"/>
          <w:sz w:val="22"/>
          <w:szCs w:val="22"/>
        </w:rPr>
        <w:t xml:space="preserve">it falsely assumes that </w:t>
      </w:r>
      <w:r w:rsidR="00335D63" w:rsidRPr="002C6B43">
        <w:rPr>
          <w:rFonts w:ascii="Arial" w:eastAsia="Calibri" w:hAnsi="Arial" w:cs="Arial"/>
          <w:sz w:val="22"/>
          <w:szCs w:val="22"/>
        </w:rPr>
        <w:t>all of the temperature change from the base period was due to anthropogenic causes (other than</w:t>
      </w:r>
      <w:r w:rsidR="006D1FC6" w:rsidRPr="002C6B43">
        <w:rPr>
          <w:rFonts w:ascii="Arial" w:eastAsia="Calibri" w:hAnsi="Arial" w:cs="Arial"/>
          <w:sz w:val="22"/>
          <w:szCs w:val="22"/>
        </w:rPr>
        <w:t xml:space="preserve"> a small solar irradiance forcing</w:t>
      </w:r>
      <w:r w:rsidR="002C6B43" w:rsidRPr="002C6B43">
        <w:rPr>
          <w:rFonts w:ascii="Arial" w:eastAsia="Calibri" w:hAnsi="Arial" w:cs="Arial"/>
          <w:sz w:val="22"/>
          <w:szCs w:val="22"/>
        </w:rPr>
        <w:t>)</w:t>
      </w:r>
      <w:r w:rsidR="00335D63" w:rsidRPr="002C6B43">
        <w:rPr>
          <w:rFonts w:ascii="Arial" w:eastAsia="Calibri" w:hAnsi="Arial" w:cs="Arial"/>
          <w:sz w:val="22"/>
          <w:szCs w:val="22"/>
        </w:rPr>
        <w:t xml:space="preserve"> </w:t>
      </w:r>
      <w:r w:rsidR="00A30B48" w:rsidRPr="002C6B43">
        <w:rPr>
          <w:rFonts w:ascii="Arial" w:eastAsia="Calibri" w:hAnsi="Arial" w:cs="Arial"/>
          <w:sz w:val="22"/>
          <w:szCs w:val="22"/>
        </w:rPr>
        <w:t>and</w:t>
      </w:r>
      <w:r w:rsidR="002C6B43" w:rsidRPr="002C6B43">
        <w:rPr>
          <w:rFonts w:ascii="Arial" w:eastAsia="Calibri" w:hAnsi="Arial" w:cs="Arial"/>
          <w:sz w:val="22"/>
          <w:szCs w:val="22"/>
        </w:rPr>
        <w:t>,</w:t>
      </w:r>
      <w:r w:rsidR="00A30B48" w:rsidRPr="002C6B43">
        <w:rPr>
          <w:rFonts w:ascii="Arial" w:eastAsia="Calibri" w:hAnsi="Arial" w:cs="Arial"/>
          <w:sz w:val="22"/>
          <w:szCs w:val="22"/>
        </w:rPr>
        <w:t xml:space="preserve"> </w:t>
      </w:r>
    </w:p>
    <w:p w:rsidR="00440D5E" w:rsidRPr="002C6B43" w:rsidRDefault="00A30B48" w:rsidP="002C6B43">
      <w:pPr>
        <w:pStyle w:val="ListParagraph"/>
        <w:numPr>
          <w:ilvl w:val="0"/>
          <w:numId w:val="39"/>
        </w:numPr>
        <w:jc w:val="both"/>
        <w:rPr>
          <w:rFonts w:ascii="Arial" w:eastAsia="Calibri" w:hAnsi="Arial" w:cs="Arial"/>
          <w:sz w:val="22"/>
          <w:szCs w:val="22"/>
        </w:rPr>
      </w:pPr>
      <w:proofErr w:type="gramStart"/>
      <w:r w:rsidRPr="002C6B43">
        <w:rPr>
          <w:rFonts w:ascii="Arial" w:eastAsia="Calibri" w:hAnsi="Arial" w:cs="Arial"/>
          <w:sz w:val="22"/>
          <w:szCs w:val="22"/>
        </w:rPr>
        <w:t>it</w:t>
      </w:r>
      <w:proofErr w:type="gramEnd"/>
      <w:r w:rsidRPr="002C6B43">
        <w:rPr>
          <w:rFonts w:ascii="Arial" w:eastAsia="Calibri" w:hAnsi="Arial" w:cs="Arial"/>
          <w:sz w:val="22"/>
          <w:szCs w:val="22"/>
        </w:rPr>
        <w:t xml:space="preserve"> doesn’t account for the urban warming contamination of the surface temperature record which exaggerates post 19</w:t>
      </w:r>
      <w:r w:rsidR="00335D63" w:rsidRPr="002C6B43">
        <w:rPr>
          <w:rFonts w:ascii="Arial" w:eastAsia="Calibri" w:hAnsi="Arial" w:cs="Arial"/>
          <w:sz w:val="22"/>
          <w:szCs w:val="22"/>
        </w:rPr>
        <w:t>70</w:t>
      </w:r>
      <w:r w:rsidRPr="002C6B43">
        <w:rPr>
          <w:rFonts w:ascii="Arial" w:eastAsia="Calibri" w:hAnsi="Arial" w:cs="Arial"/>
          <w:sz w:val="22"/>
          <w:szCs w:val="22"/>
        </w:rPr>
        <w:t xml:space="preserve"> warming</w:t>
      </w:r>
      <w:r w:rsidR="00A374C9" w:rsidRPr="002C6B43">
        <w:rPr>
          <w:rFonts w:ascii="Arial" w:eastAsia="Calibri" w:hAnsi="Arial" w:cs="Arial"/>
          <w:sz w:val="22"/>
          <w:szCs w:val="22"/>
        </w:rPr>
        <w:t xml:space="preserve">. </w:t>
      </w:r>
    </w:p>
    <w:p w:rsidR="002C6B43" w:rsidRDefault="00581FB2" w:rsidP="00F92BB1">
      <w:pPr>
        <w:jc w:val="both"/>
        <w:rPr>
          <w:rFonts w:ascii="Arial" w:eastAsia="Calibri" w:hAnsi="Arial" w:cs="Arial"/>
          <w:sz w:val="22"/>
          <w:szCs w:val="22"/>
        </w:rPr>
      </w:pPr>
      <w:r>
        <w:rPr>
          <w:rFonts w:ascii="Arial" w:eastAsia="Calibri" w:hAnsi="Arial" w:cs="Arial"/>
          <w:sz w:val="22"/>
          <w:szCs w:val="22"/>
        </w:rPr>
        <w:t>A paper by</w:t>
      </w:r>
      <w:r w:rsidRPr="00581FB2">
        <w:rPr>
          <w:rFonts w:ascii="Arial" w:eastAsia="Calibri" w:hAnsi="Arial" w:cs="Arial"/>
          <w:sz w:val="22"/>
          <w:szCs w:val="22"/>
        </w:rPr>
        <w:t xml:space="preserve"> </w:t>
      </w:r>
      <w:proofErr w:type="spellStart"/>
      <w:r w:rsidRPr="00581FB2">
        <w:rPr>
          <w:rFonts w:ascii="Arial" w:eastAsia="Calibri" w:hAnsi="Arial" w:cs="Arial"/>
          <w:sz w:val="22"/>
          <w:szCs w:val="22"/>
        </w:rPr>
        <w:t>Gebbie</w:t>
      </w:r>
      <w:proofErr w:type="spellEnd"/>
      <w:r w:rsidRPr="00581FB2">
        <w:rPr>
          <w:rFonts w:ascii="Arial" w:eastAsia="Calibri" w:hAnsi="Arial" w:cs="Arial"/>
          <w:sz w:val="22"/>
          <w:szCs w:val="22"/>
        </w:rPr>
        <w:t xml:space="preserve"> and </w:t>
      </w:r>
      <w:proofErr w:type="spellStart"/>
      <w:r w:rsidRPr="00581FB2">
        <w:rPr>
          <w:rFonts w:ascii="Arial" w:eastAsia="Calibri" w:hAnsi="Arial" w:cs="Arial"/>
          <w:sz w:val="22"/>
          <w:szCs w:val="22"/>
        </w:rPr>
        <w:t>Huybers</w:t>
      </w:r>
      <w:proofErr w:type="spellEnd"/>
      <w:r w:rsidRPr="00581FB2">
        <w:rPr>
          <w:rFonts w:ascii="Arial" w:eastAsia="Calibri" w:hAnsi="Arial" w:cs="Arial"/>
          <w:sz w:val="22"/>
          <w:szCs w:val="22"/>
        </w:rPr>
        <w:t xml:space="preserve"> (GH2019)</w:t>
      </w:r>
      <w:r>
        <w:rPr>
          <w:rStyle w:val="FootnoteReference"/>
          <w:rFonts w:ascii="Arial" w:eastAsia="Calibri" w:hAnsi="Arial" w:cs="Arial"/>
          <w:sz w:val="22"/>
          <w:szCs w:val="22"/>
        </w:rPr>
        <w:footnoteReference w:id="6"/>
      </w:r>
      <w:r w:rsidRPr="00581FB2">
        <w:rPr>
          <w:rFonts w:ascii="Arial" w:eastAsia="Calibri" w:hAnsi="Arial" w:cs="Arial"/>
          <w:sz w:val="22"/>
          <w:szCs w:val="22"/>
        </w:rPr>
        <w:t xml:space="preserve"> used an ocean circulation model and modern and </w:t>
      </w:r>
      <w:proofErr w:type="spellStart"/>
      <w:r w:rsidRPr="00581FB2">
        <w:rPr>
          <w:rFonts w:ascii="Arial" w:eastAsia="Calibri" w:hAnsi="Arial" w:cs="Arial"/>
          <w:sz w:val="22"/>
          <w:szCs w:val="22"/>
        </w:rPr>
        <w:t>paleoceanographic</w:t>
      </w:r>
      <w:proofErr w:type="spellEnd"/>
      <w:r w:rsidRPr="00581FB2">
        <w:rPr>
          <w:rFonts w:ascii="Arial" w:eastAsia="Calibri" w:hAnsi="Arial" w:cs="Arial"/>
          <w:sz w:val="22"/>
          <w:szCs w:val="22"/>
        </w:rPr>
        <w:t xml:space="preserve"> observations from both the end of the 19th century and the end of the 20th century to show that the deep Pacific </w:t>
      </w:r>
      <w:r w:rsidR="00576A5B" w:rsidRPr="00581FB2">
        <w:rPr>
          <w:rFonts w:ascii="Arial" w:eastAsia="Calibri" w:hAnsi="Arial" w:cs="Arial"/>
          <w:sz w:val="22"/>
          <w:szCs w:val="22"/>
        </w:rPr>
        <w:t>Ocean</w:t>
      </w:r>
      <w:r w:rsidRPr="00581FB2">
        <w:rPr>
          <w:rFonts w:ascii="Arial" w:eastAsia="Calibri" w:hAnsi="Arial" w:cs="Arial"/>
          <w:sz w:val="22"/>
          <w:szCs w:val="22"/>
        </w:rPr>
        <w:t xml:space="preserve"> is still cooling.</w:t>
      </w:r>
      <w:r>
        <w:rPr>
          <w:rFonts w:ascii="Arial" w:eastAsia="Calibri" w:hAnsi="Arial" w:cs="Arial"/>
          <w:sz w:val="22"/>
          <w:szCs w:val="22"/>
        </w:rPr>
        <w:t xml:space="preserve"> The paper says </w:t>
      </w:r>
      <w:r w:rsidRPr="00581FB2">
        <w:rPr>
          <w:rFonts w:ascii="Arial" w:eastAsia="Calibri" w:hAnsi="Arial" w:cs="Arial"/>
          <w:sz w:val="22"/>
          <w:szCs w:val="22"/>
        </w:rPr>
        <w:t>“historical model simulations are biased toward overestimating ocean heat uptake when initialized at equilibrium during the Little Ice Age”.</w:t>
      </w:r>
      <w:r>
        <w:rPr>
          <w:rFonts w:ascii="Arial" w:eastAsia="Calibri" w:hAnsi="Arial" w:cs="Arial"/>
          <w:sz w:val="22"/>
          <w:szCs w:val="22"/>
        </w:rPr>
        <w:t xml:space="preserve"> The ongoing deep ocean cooling </w:t>
      </w:r>
      <w:r w:rsidRPr="00581FB2">
        <w:rPr>
          <w:rFonts w:ascii="Arial" w:eastAsia="Calibri" w:hAnsi="Arial" w:cs="Arial"/>
          <w:sz w:val="22"/>
          <w:szCs w:val="22"/>
        </w:rPr>
        <w:t xml:space="preserve">revises Earth's overall heat budget since 1750 downward by 35%. </w:t>
      </w:r>
      <w:r>
        <w:rPr>
          <w:rFonts w:ascii="Arial" w:eastAsia="Calibri" w:hAnsi="Arial" w:cs="Arial"/>
          <w:sz w:val="22"/>
          <w:szCs w:val="22"/>
        </w:rPr>
        <w:t xml:space="preserve">Taking this into account would revise downward the ECS calculated by energy balance. </w:t>
      </w:r>
    </w:p>
    <w:p w:rsidR="00E302D8" w:rsidRDefault="002C6B43" w:rsidP="00F92BB1">
      <w:pPr>
        <w:jc w:val="both"/>
        <w:rPr>
          <w:rFonts w:ascii="Arial" w:eastAsia="Calibri" w:hAnsi="Arial" w:cs="Arial"/>
          <w:sz w:val="22"/>
          <w:szCs w:val="22"/>
        </w:rPr>
      </w:pPr>
      <w:r>
        <w:rPr>
          <w:rFonts w:ascii="Arial" w:eastAsia="Calibri" w:hAnsi="Arial" w:cs="Arial"/>
          <w:sz w:val="22"/>
          <w:szCs w:val="22"/>
        </w:rPr>
        <w:t>Solar forcing may be several times larger than just that caused by the change in the total solar irradiance (TSI)</w:t>
      </w:r>
      <w:r w:rsidR="00E27268">
        <w:rPr>
          <w:rFonts w:ascii="Arial" w:eastAsia="Calibri" w:hAnsi="Arial" w:cs="Arial"/>
          <w:sz w:val="22"/>
          <w:szCs w:val="22"/>
        </w:rPr>
        <w:t xml:space="preserve"> as interpreted by the IPCC</w:t>
      </w:r>
      <w:r>
        <w:rPr>
          <w:rFonts w:ascii="Arial" w:eastAsia="Calibri" w:hAnsi="Arial" w:cs="Arial"/>
          <w:sz w:val="22"/>
          <w:szCs w:val="22"/>
        </w:rPr>
        <w:t xml:space="preserve">. </w:t>
      </w:r>
      <w:r w:rsidR="00071D3D">
        <w:rPr>
          <w:rFonts w:ascii="Arial" w:eastAsia="Calibri" w:hAnsi="Arial" w:cs="Arial"/>
          <w:sz w:val="22"/>
          <w:szCs w:val="22"/>
        </w:rPr>
        <w:t xml:space="preserve">A paper </w:t>
      </w:r>
      <w:proofErr w:type="spellStart"/>
      <w:r w:rsidR="00071D3D">
        <w:rPr>
          <w:rFonts w:ascii="Arial" w:eastAsia="Calibri" w:hAnsi="Arial" w:cs="Arial"/>
          <w:sz w:val="22"/>
          <w:szCs w:val="22"/>
        </w:rPr>
        <w:t>Scafetta</w:t>
      </w:r>
      <w:proofErr w:type="spellEnd"/>
      <w:r w:rsidR="00071D3D">
        <w:rPr>
          <w:rFonts w:ascii="Arial" w:eastAsia="Calibri" w:hAnsi="Arial" w:cs="Arial"/>
          <w:sz w:val="22"/>
          <w:szCs w:val="22"/>
        </w:rPr>
        <w:t xml:space="preserve"> et al 2019</w:t>
      </w:r>
      <w:r w:rsidR="00071D3D">
        <w:rPr>
          <w:rStyle w:val="FootnoteReference"/>
          <w:rFonts w:ascii="Arial" w:eastAsia="Calibri" w:hAnsi="Arial" w:cs="Arial"/>
          <w:sz w:val="22"/>
          <w:szCs w:val="22"/>
        </w:rPr>
        <w:footnoteReference w:id="7"/>
      </w:r>
      <w:r w:rsidR="00071D3D">
        <w:rPr>
          <w:rFonts w:ascii="Arial" w:eastAsia="Calibri" w:hAnsi="Arial" w:cs="Arial"/>
          <w:sz w:val="22"/>
          <w:szCs w:val="22"/>
        </w:rPr>
        <w:t xml:space="preserve"> shows that the TSI increased </w:t>
      </w:r>
      <w:r w:rsidR="00071D3D" w:rsidRPr="00071D3D">
        <w:rPr>
          <w:rFonts w:ascii="Arial" w:eastAsia="Calibri" w:hAnsi="Arial" w:cs="Arial"/>
          <w:sz w:val="22"/>
          <w:szCs w:val="22"/>
        </w:rPr>
        <w:t>from the 1986</w:t>
      </w:r>
      <w:r w:rsidR="00071D3D" w:rsidRPr="00071D3D">
        <w:t xml:space="preserve"> </w:t>
      </w:r>
      <w:r w:rsidR="00071D3D" w:rsidRPr="00071D3D">
        <w:rPr>
          <w:rFonts w:ascii="Arial" w:eastAsia="Calibri" w:hAnsi="Arial" w:cs="Arial"/>
          <w:sz w:val="22"/>
          <w:szCs w:val="22"/>
        </w:rPr>
        <w:t>minimum to the 1996 minimum by about 0.45 W/m</w:t>
      </w:r>
      <w:r w:rsidR="00071D3D" w:rsidRPr="00071D3D">
        <w:rPr>
          <w:rFonts w:ascii="Arial" w:eastAsia="Calibri" w:hAnsi="Arial" w:cs="Arial"/>
          <w:sz w:val="22"/>
          <w:szCs w:val="22"/>
          <w:vertAlign w:val="superscript"/>
        </w:rPr>
        <w:t>2</w:t>
      </w:r>
      <w:r w:rsidR="00071D3D" w:rsidRPr="00071D3D">
        <w:rPr>
          <w:rFonts w:ascii="Arial" w:eastAsia="Calibri" w:hAnsi="Arial" w:cs="Arial"/>
          <w:sz w:val="22"/>
          <w:szCs w:val="22"/>
        </w:rPr>
        <w:t xml:space="preserve"> and that 2000–2002 was likely a grand solar maximum. </w:t>
      </w:r>
      <w:r w:rsidR="00071D3D">
        <w:rPr>
          <w:rFonts w:ascii="Arial" w:eastAsia="Calibri" w:hAnsi="Arial" w:cs="Arial"/>
          <w:sz w:val="22"/>
          <w:szCs w:val="22"/>
        </w:rPr>
        <w:t>This implies that the TSI forcing was greater than that used in LC2018.</w:t>
      </w:r>
      <w:r w:rsidR="00A533ED">
        <w:rPr>
          <w:rFonts w:ascii="Arial" w:eastAsia="Calibri" w:hAnsi="Arial" w:cs="Arial"/>
          <w:sz w:val="22"/>
          <w:szCs w:val="22"/>
        </w:rPr>
        <w:t xml:space="preserve"> </w:t>
      </w:r>
      <w:r w:rsidR="00E302D8">
        <w:rPr>
          <w:rFonts w:ascii="Arial" w:eastAsia="Calibri" w:hAnsi="Arial" w:cs="Arial"/>
          <w:sz w:val="22"/>
          <w:szCs w:val="22"/>
        </w:rPr>
        <w:t xml:space="preserve">There are several estimates of TSI. </w:t>
      </w:r>
      <w:r w:rsidR="00C5222A">
        <w:rPr>
          <w:rFonts w:ascii="Arial" w:eastAsia="Calibri" w:hAnsi="Arial" w:cs="Arial"/>
          <w:sz w:val="22"/>
          <w:szCs w:val="22"/>
        </w:rPr>
        <w:t>T</w:t>
      </w:r>
      <w:r w:rsidR="00E302D8">
        <w:rPr>
          <w:rFonts w:ascii="Arial" w:eastAsia="Calibri" w:hAnsi="Arial" w:cs="Arial"/>
          <w:sz w:val="22"/>
          <w:szCs w:val="22"/>
        </w:rPr>
        <w:t>wo historical TSI reconstruction</w:t>
      </w:r>
      <w:r w:rsidR="00AE5486">
        <w:rPr>
          <w:rFonts w:ascii="Arial" w:eastAsia="Calibri" w:hAnsi="Arial" w:cs="Arial"/>
          <w:sz w:val="22"/>
          <w:szCs w:val="22"/>
        </w:rPr>
        <w:t>s</w:t>
      </w:r>
      <w:r w:rsidR="00C5222A">
        <w:rPr>
          <w:rFonts w:ascii="Arial" w:eastAsia="Calibri" w:hAnsi="Arial" w:cs="Arial"/>
          <w:sz w:val="22"/>
          <w:szCs w:val="22"/>
        </w:rPr>
        <w:t xml:space="preserve"> are presented</w:t>
      </w:r>
      <w:r w:rsidR="00E302D8">
        <w:rPr>
          <w:rFonts w:ascii="Arial" w:eastAsia="Calibri" w:hAnsi="Arial" w:cs="Arial"/>
          <w:sz w:val="22"/>
          <w:szCs w:val="22"/>
        </w:rPr>
        <w:t xml:space="preserve"> as figure</w:t>
      </w:r>
      <w:r w:rsidR="00AE5486">
        <w:rPr>
          <w:rFonts w:ascii="Arial" w:eastAsia="Calibri" w:hAnsi="Arial" w:cs="Arial"/>
          <w:sz w:val="22"/>
          <w:szCs w:val="22"/>
        </w:rPr>
        <w:t>s</w:t>
      </w:r>
      <w:r w:rsidR="00E302D8">
        <w:rPr>
          <w:rFonts w:ascii="Arial" w:eastAsia="Calibri" w:hAnsi="Arial" w:cs="Arial"/>
          <w:sz w:val="22"/>
          <w:szCs w:val="22"/>
        </w:rPr>
        <w:t xml:space="preserve"> 1 a</w:t>
      </w:r>
      <w:r w:rsidR="00AE5486">
        <w:rPr>
          <w:rFonts w:ascii="Arial" w:eastAsia="Calibri" w:hAnsi="Arial" w:cs="Arial"/>
          <w:sz w:val="22"/>
          <w:szCs w:val="22"/>
        </w:rPr>
        <w:t>nd</w:t>
      </w:r>
      <w:r w:rsidR="00E302D8">
        <w:rPr>
          <w:rFonts w:ascii="Arial" w:eastAsia="Calibri" w:hAnsi="Arial" w:cs="Arial"/>
          <w:sz w:val="22"/>
          <w:szCs w:val="22"/>
        </w:rPr>
        <w:t xml:space="preserve"> 2. They are quite different but what is clear is that generally the TSI has been increasing through the 20</w:t>
      </w:r>
      <w:r w:rsidR="00E302D8" w:rsidRPr="00E302D8">
        <w:rPr>
          <w:rFonts w:ascii="Arial" w:eastAsia="Calibri" w:hAnsi="Arial" w:cs="Arial"/>
          <w:sz w:val="22"/>
          <w:szCs w:val="22"/>
          <w:vertAlign w:val="superscript"/>
        </w:rPr>
        <w:t>th</w:t>
      </w:r>
      <w:r w:rsidR="00E302D8">
        <w:rPr>
          <w:rFonts w:ascii="Arial" w:eastAsia="Calibri" w:hAnsi="Arial" w:cs="Arial"/>
          <w:sz w:val="22"/>
          <w:szCs w:val="22"/>
        </w:rPr>
        <w:t xml:space="preserve"> century and is significantly higher than that in 1600-1700 and 1800-1820.</w:t>
      </w:r>
    </w:p>
    <w:p w:rsidR="00E302D8" w:rsidRDefault="00E302D8" w:rsidP="00F92BB1">
      <w:pPr>
        <w:jc w:val="both"/>
        <w:rPr>
          <w:rFonts w:ascii="Arial" w:eastAsia="Calibri" w:hAnsi="Arial" w:cs="Arial"/>
          <w:sz w:val="22"/>
          <w:szCs w:val="22"/>
        </w:rPr>
      </w:pPr>
      <w:r>
        <w:rPr>
          <w:rFonts w:ascii="Arial" w:eastAsia="Calibri" w:hAnsi="Arial" w:cs="Arial"/>
          <w:noProof/>
          <w:sz w:val="22"/>
          <w:szCs w:val="22"/>
          <w:lang w:eastAsia="en-US"/>
        </w:rPr>
        <w:lastRenderedPageBreak/>
        <w:drawing>
          <wp:inline distT="0" distB="0" distL="0" distR="0">
            <wp:extent cx="5943600" cy="23094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I-G-Kopp.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2309495"/>
                    </a:xfrm>
                    <a:prstGeom prst="rect">
                      <a:avLst/>
                    </a:prstGeom>
                  </pic:spPr>
                </pic:pic>
              </a:graphicData>
            </a:graphic>
          </wp:inline>
        </w:drawing>
      </w:r>
    </w:p>
    <w:p w:rsidR="00E302D8" w:rsidRDefault="00E302D8" w:rsidP="00F92BB1">
      <w:pPr>
        <w:jc w:val="both"/>
        <w:rPr>
          <w:rFonts w:ascii="Arial" w:eastAsia="Calibri" w:hAnsi="Arial" w:cs="Arial"/>
          <w:sz w:val="22"/>
          <w:szCs w:val="22"/>
        </w:rPr>
      </w:pPr>
      <w:proofErr w:type="gramStart"/>
      <w:r>
        <w:rPr>
          <w:rFonts w:ascii="Arial" w:eastAsia="Calibri" w:hAnsi="Arial" w:cs="Arial"/>
          <w:sz w:val="22"/>
          <w:szCs w:val="22"/>
        </w:rPr>
        <w:t>Figure 1.</w:t>
      </w:r>
      <w:proofErr w:type="gramEnd"/>
      <w:r>
        <w:rPr>
          <w:rFonts w:ascii="Arial" w:eastAsia="Calibri" w:hAnsi="Arial" w:cs="Arial"/>
          <w:sz w:val="22"/>
          <w:szCs w:val="22"/>
        </w:rPr>
        <w:t xml:space="preserve"> </w:t>
      </w:r>
      <w:proofErr w:type="gramStart"/>
      <w:r>
        <w:rPr>
          <w:rFonts w:ascii="Arial" w:eastAsia="Calibri" w:hAnsi="Arial" w:cs="Arial"/>
          <w:sz w:val="22"/>
          <w:szCs w:val="22"/>
        </w:rPr>
        <w:t>TSI reconstruction</w:t>
      </w:r>
      <w:r w:rsidR="00966E53">
        <w:rPr>
          <w:rStyle w:val="FootnoteReference"/>
          <w:rFonts w:ascii="Arial" w:eastAsia="Calibri" w:hAnsi="Arial" w:cs="Arial"/>
          <w:sz w:val="22"/>
          <w:szCs w:val="22"/>
        </w:rPr>
        <w:footnoteReference w:id="8"/>
      </w:r>
      <w:r>
        <w:rPr>
          <w:rFonts w:ascii="Arial" w:eastAsia="Calibri" w:hAnsi="Arial" w:cs="Arial"/>
          <w:sz w:val="22"/>
          <w:szCs w:val="22"/>
        </w:rPr>
        <w:t xml:space="preserve"> by G. </w:t>
      </w:r>
      <w:proofErr w:type="spellStart"/>
      <w:r>
        <w:rPr>
          <w:rFonts w:ascii="Arial" w:eastAsia="Calibri" w:hAnsi="Arial" w:cs="Arial"/>
          <w:sz w:val="22"/>
          <w:szCs w:val="22"/>
        </w:rPr>
        <w:t>Kapp</w:t>
      </w:r>
      <w:proofErr w:type="spellEnd"/>
      <w:r>
        <w:rPr>
          <w:rFonts w:ascii="Arial" w:eastAsia="Calibri" w:hAnsi="Arial" w:cs="Arial"/>
          <w:sz w:val="22"/>
          <w:szCs w:val="22"/>
        </w:rPr>
        <w:t>, 2019.</w:t>
      </w:r>
      <w:proofErr w:type="gramEnd"/>
    </w:p>
    <w:p w:rsidR="00E302D8" w:rsidRDefault="00E302D8" w:rsidP="00F92BB1">
      <w:pPr>
        <w:jc w:val="both"/>
        <w:rPr>
          <w:rFonts w:ascii="Arial" w:eastAsia="Calibri" w:hAnsi="Arial" w:cs="Arial"/>
          <w:sz w:val="22"/>
          <w:szCs w:val="22"/>
        </w:rPr>
      </w:pPr>
      <w:r>
        <w:rPr>
          <w:rFonts w:ascii="Arial" w:eastAsia="Calibri" w:hAnsi="Arial" w:cs="Arial"/>
          <w:noProof/>
          <w:sz w:val="22"/>
          <w:szCs w:val="22"/>
          <w:lang w:eastAsia="en-US"/>
        </w:rPr>
        <w:drawing>
          <wp:inline distT="0" distB="0" distL="0" distR="0">
            <wp:extent cx="5391150" cy="19888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I-Scafetta2019.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99804" cy="1991995"/>
                    </a:xfrm>
                    <a:prstGeom prst="rect">
                      <a:avLst/>
                    </a:prstGeom>
                  </pic:spPr>
                </pic:pic>
              </a:graphicData>
            </a:graphic>
          </wp:inline>
        </w:drawing>
      </w:r>
    </w:p>
    <w:p w:rsidR="0027486C" w:rsidRDefault="0027486C" w:rsidP="00F92BB1">
      <w:pPr>
        <w:jc w:val="both"/>
        <w:rPr>
          <w:rFonts w:ascii="Arial" w:eastAsia="Calibri" w:hAnsi="Arial" w:cs="Arial"/>
          <w:sz w:val="22"/>
          <w:szCs w:val="22"/>
        </w:rPr>
      </w:pPr>
      <w:proofErr w:type="gramStart"/>
      <w:r>
        <w:rPr>
          <w:rFonts w:ascii="Arial" w:eastAsia="Calibri" w:hAnsi="Arial" w:cs="Arial"/>
          <w:sz w:val="22"/>
          <w:szCs w:val="22"/>
        </w:rPr>
        <w:t>Figure 2.</w:t>
      </w:r>
      <w:proofErr w:type="gramEnd"/>
      <w:r>
        <w:rPr>
          <w:rFonts w:ascii="Arial" w:eastAsia="Calibri" w:hAnsi="Arial" w:cs="Arial"/>
          <w:sz w:val="22"/>
          <w:szCs w:val="22"/>
        </w:rPr>
        <w:t xml:space="preserve"> </w:t>
      </w:r>
      <w:proofErr w:type="gramStart"/>
      <w:r>
        <w:rPr>
          <w:rFonts w:ascii="Arial" w:eastAsia="Calibri" w:hAnsi="Arial" w:cs="Arial"/>
          <w:sz w:val="22"/>
          <w:szCs w:val="22"/>
        </w:rPr>
        <w:t>TSI reconstruction</w:t>
      </w:r>
      <w:r w:rsidR="00966E53">
        <w:rPr>
          <w:rStyle w:val="FootnoteReference"/>
          <w:rFonts w:ascii="Arial" w:eastAsia="Calibri" w:hAnsi="Arial" w:cs="Arial"/>
          <w:sz w:val="22"/>
          <w:szCs w:val="22"/>
        </w:rPr>
        <w:footnoteReference w:id="9"/>
      </w:r>
      <w:r>
        <w:rPr>
          <w:rFonts w:ascii="Arial" w:eastAsia="Calibri" w:hAnsi="Arial" w:cs="Arial"/>
          <w:sz w:val="22"/>
          <w:szCs w:val="22"/>
        </w:rPr>
        <w:t xml:space="preserve"> by N. </w:t>
      </w:r>
      <w:proofErr w:type="spellStart"/>
      <w:r>
        <w:rPr>
          <w:rFonts w:ascii="Arial" w:eastAsia="Calibri" w:hAnsi="Arial" w:cs="Arial"/>
          <w:sz w:val="22"/>
          <w:szCs w:val="22"/>
        </w:rPr>
        <w:t>Scafetta</w:t>
      </w:r>
      <w:proofErr w:type="spellEnd"/>
      <w:r>
        <w:rPr>
          <w:rFonts w:ascii="Arial" w:eastAsia="Calibri" w:hAnsi="Arial" w:cs="Arial"/>
          <w:sz w:val="22"/>
          <w:szCs w:val="22"/>
        </w:rPr>
        <w:t>, 2019.</w:t>
      </w:r>
      <w:proofErr w:type="gramEnd"/>
    </w:p>
    <w:p w:rsidR="00A40EAD" w:rsidRDefault="00A533ED" w:rsidP="00F92BB1">
      <w:pPr>
        <w:jc w:val="both"/>
        <w:rPr>
          <w:rFonts w:ascii="Arial" w:eastAsia="Calibri" w:hAnsi="Arial" w:cs="Arial"/>
          <w:sz w:val="22"/>
          <w:szCs w:val="22"/>
        </w:rPr>
      </w:pPr>
      <w:r>
        <w:rPr>
          <w:rFonts w:ascii="Arial" w:eastAsia="Calibri" w:hAnsi="Arial" w:cs="Arial"/>
          <w:sz w:val="22"/>
          <w:szCs w:val="22"/>
        </w:rPr>
        <w:t>Numerous studies show that</w:t>
      </w:r>
      <w:r w:rsidR="009677A2">
        <w:rPr>
          <w:rFonts w:ascii="Arial" w:eastAsia="Calibri" w:hAnsi="Arial" w:cs="Arial"/>
          <w:sz w:val="22"/>
          <w:szCs w:val="22"/>
        </w:rPr>
        <w:t xml:space="preserve"> </w:t>
      </w:r>
      <w:r w:rsidR="009677A2" w:rsidRPr="009677A2">
        <w:rPr>
          <w:rFonts w:ascii="Arial" w:eastAsia="Calibri" w:hAnsi="Arial" w:cs="Arial"/>
          <w:sz w:val="22"/>
          <w:szCs w:val="22"/>
        </w:rPr>
        <w:t>solar ultraviolet radiation</w:t>
      </w:r>
      <w:r w:rsidR="009677A2">
        <w:rPr>
          <w:rFonts w:ascii="Arial" w:eastAsia="Calibri" w:hAnsi="Arial" w:cs="Arial"/>
          <w:sz w:val="22"/>
          <w:szCs w:val="22"/>
        </w:rPr>
        <w:t xml:space="preserve"> and solar magnetic flux has caused a significant positive solar forcing </w:t>
      </w:r>
      <w:r w:rsidR="009C2384">
        <w:rPr>
          <w:rFonts w:ascii="Arial" w:eastAsia="Calibri" w:hAnsi="Arial" w:cs="Arial"/>
          <w:sz w:val="22"/>
          <w:szCs w:val="22"/>
        </w:rPr>
        <w:t>from pre-industrial times to date</w:t>
      </w:r>
      <w:r w:rsidR="009677A2">
        <w:rPr>
          <w:rFonts w:ascii="Arial" w:eastAsia="Calibri" w:hAnsi="Arial" w:cs="Arial"/>
          <w:sz w:val="22"/>
          <w:szCs w:val="22"/>
        </w:rPr>
        <w:t>. T</w:t>
      </w:r>
      <w:r>
        <w:rPr>
          <w:rFonts w:ascii="Arial" w:eastAsia="Calibri" w:hAnsi="Arial" w:cs="Arial"/>
          <w:sz w:val="22"/>
          <w:szCs w:val="22"/>
        </w:rPr>
        <w:t>he large variation</w:t>
      </w:r>
      <w:r w:rsidR="009677A2">
        <w:rPr>
          <w:rFonts w:ascii="Arial" w:eastAsia="Calibri" w:hAnsi="Arial" w:cs="Arial"/>
          <w:sz w:val="22"/>
          <w:szCs w:val="22"/>
        </w:rPr>
        <w:t>s</w:t>
      </w:r>
      <w:r>
        <w:rPr>
          <w:rFonts w:ascii="Arial" w:eastAsia="Calibri" w:hAnsi="Arial" w:cs="Arial"/>
          <w:sz w:val="22"/>
          <w:szCs w:val="22"/>
        </w:rPr>
        <w:t xml:space="preserve"> of solar ultraviolet radiation affect ozone in the upper atmosphere which causes a solar forcing at least as much as that of TSI. The changing solar magnetic flux carried by the solar wind repels cosmic rays which help to create cloud </w:t>
      </w:r>
      <w:r w:rsidR="009677A2">
        <w:rPr>
          <w:rFonts w:ascii="Arial" w:eastAsia="Calibri" w:hAnsi="Arial" w:cs="Arial"/>
          <w:sz w:val="22"/>
          <w:szCs w:val="22"/>
        </w:rPr>
        <w:t>condensing nuclei.</w:t>
      </w:r>
      <w:r w:rsidR="00D57257">
        <w:rPr>
          <w:rFonts w:ascii="Arial" w:eastAsia="Calibri" w:hAnsi="Arial" w:cs="Arial"/>
          <w:sz w:val="22"/>
          <w:szCs w:val="22"/>
        </w:rPr>
        <w:t xml:space="preserve"> High solar activity reduces cosmic rays entering the atmosphere, reducing lower cloud cover</w:t>
      </w:r>
      <w:r w:rsidR="0027486C">
        <w:rPr>
          <w:rFonts w:ascii="Arial" w:eastAsia="Calibri" w:hAnsi="Arial" w:cs="Arial"/>
          <w:sz w:val="22"/>
          <w:szCs w:val="22"/>
        </w:rPr>
        <w:t xml:space="preserve"> and</w:t>
      </w:r>
      <w:r w:rsidR="00D57257">
        <w:rPr>
          <w:rFonts w:ascii="Arial" w:eastAsia="Calibri" w:hAnsi="Arial" w:cs="Arial"/>
          <w:sz w:val="22"/>
          <w:szCs w:val="22"/>
        </w:rPr>
        <w:t xml:space="preserve"> causing warming by increased incoming solar radiation.</w:t>
      </w:r>
      <w:r w:rsidR="00114A09">
        <w:rPr>
          <w:rFonts w:ascii="Arial" w:eastAsia="Calibri" w:hAnsi="Arial" w:cs="Arial"/>
          <w:sz w:val="22"/>
          <w:szCs w:val="22"/>
        </w:rPr>
        <w:t xml:space="preserve"> </w:t>
      </w:r>
      <w:r w:rsidR="009677A2">
        <w:rPr>
          <w:rFonts w:ascii="Arial" w:eastAsia="Calibri" w:hAnsi="Arial" w:cs="Arial"/>
          <w:sz w:val="22"/>
          <w:szCs w:val="22"/>
        </w:rPr>
        <w:t>Therefore, the increasing solar activity throughout the 20</w:t>
      </w:r>
      <w:r w:rsidR="009677A2" w:rsidRPr="009677A2">
        <w:rPr>
          <w:rFonts w:ascii="Arial" w:eastAsia="Calibri" w:hAnsi="Arial" w:cs="Arial"/>
          <w:sz w:val="22"/>
          <w:szCs w:val="22"/>
          <w:vertAlign w:val="superscript"/>
        </w:rPr>
        <w:t>th</w:t>
      </w:r>
      <w:r w:rsidR="009677A2">
        <w:rPr>
          <w:rFonts w:ascii="Arial" w:eastAsia="Calibri" w:hAnsi="Arial" w:cs="Arial"/>
          <w:sz w:val="22"/>
          <w:szCs w:val="22"/>
        </w:rPr>
        <w:t xml:space="preserve"> century has increased global average temperatures by three distinct mechanisms.</w:t>
      </w:r>
      <w:r>
        <w:rPr>
          <w:rFonts w:ascii="Arial" w:eastAsia="Calibri" w:hAnsi="Arial" w:cs="Arial"/>
          <w:sz w:val="22"/>
          <w:szCs w:val="22"/>
        </w:rPr>
        <w:t xml:space="preserve"> </w:t>
      </w:r>
      <w:r w:rsidR="00D57257">
        <w:rPr>
          <w:rFonts w:ascii="Arial" w:eastAsia="Calibri" w:hAnsi="Arial" w:cs="Arial"/>
          <w:sz w:val="22"/>
          <w:szCs w:val="22"/>
        </w:rPr>
        <w:t xml:space="preserve">A paper by Henrik </w:t>
      </w:r>
      <w:proofErr w:type="spellStart"/>
      <w:r w:rsidR="00D57257">
        <w:rPr>
          <w:rFonts w:ascii="Arial" w:eastAsia="Calibri" w:hAnsi="Arial" w:cs="Arial"/>
          <w:sz w:val="22"/>
          <w:szCs w:val="22"/>
        </w:rPr>
        <w:lastRenderedPageBreak/>
        <w:t>Svensmark</w:t>
      </w:r>
      <w:proofErr w:type="spellEnd"/>
      <w:r w:rsidR="00D57257">
        <w:rPr>
          <w:rFonts w:ascii="Arial" w:eastAsia="Calibri" w:hAnsi="Arial" w:cs="Arial"/>
          <w:sz w:val="22"/>
          <w:szCs w:val="22"/>
        </w:rPr>
        <w:t xml:space="preserve"> summarizes </w:t>
      </w:r>
      <w:r w:rsidR="006C3930">
        <w:rPr>
          <w:rFonts w:ascii="Arial" w:eastAsia="Calibri" w:hAnsi="Arial" w:cs="Arial"/>
          <w:sz w:val="22"/>
          <w:szCs w:val="22"/>
        </w:rPr>
        <w:t xml:space="preserve">the </w:t>
      </w:r>
      <w:r w:rsidR="00D57257">
        <w:rPr>
          <w:rFonts w:ascii="Arial" w:eastAsia="Calibri" w:hAnsi="Arial" w:cs="Arial"/>
          <w:sz w:val="22"/>
          <w:szCs w:val="22"/>
        </w:rPr>
        <w:t>known solar effect</w:t>
      </w:r>
      <w:r w:rsidR="00FA6A54">
        <w:rPr>
          <w:rFonts w:ascii="Arial" w:eastAsia="Calibri" w:hAnsi="Arial" w:cs="Arial"/>
          <w:sz w:val="22"/>
          <w:szCs w:val="22"/>
        </w:rPr>
        <w:t>s</w:t>
      </w:r>
      <w:r w:rsidR="00D57257">
        <w:rPr>
          <w:rFonts w:ascii="Arial" w:eastAsia="Calibri" w:hAnsi="Arial" w:cs="Arial"/>
          <w:sz w:val="22"/>
          <w:szCs w:val="22"/>
        </w:rPr>
        <w:t xml:space="preserve"> on climate.</w:t>
      </w:r>
      <w:r w:rsidR="00D57257">
        <w:rPr>
          <w:rStyle w:val="FootnoteReference"/>
          <w:rFonts w:ascii="Arial" w:eastAsia="Calibri" w:hAnsi="Arial" w:cs="Arial"/>
          <w:sz w:val="22"/>
          <w:szCs w:val="22"/>
        </w:rPr>
        <w:footnoteReference w:id="10"/>
      </w:r>
      <w:r w:rsidR="00D57257">
        <w:rPr>
          <w:rFonts w:ascii="Arial" w:eastAsia="Calibri" w:hAnsi="Arial" w:cs="Arial"/>
          <w:sz w:val="22"/>
          <w:szCs w:val="22"/>
        </w:rPr>
        <w:t xml:space="preserve"> It shows that </w:t>
      </w:r>
      <w:r w:rsidR="00D57257" w:rsidRPr="00114A09">
        <w:rPr>
          <w:rFonts w:ascii="Arial" w:eastAsia="Calibri" w:hAnsi="Arial" w:cs="Arial"/>
          <w:sz w:val="22"/>
          <w:szCs w:val="22"/>
        </w:rPr>
        <w:t>over the eleven-year solar cycle the energy that enters the Earth’s system is of the order of 1.0</w:t>
      </w:r>
      <w:r w:rsidR="00966E53">
        <w:rPr>
          <w:rFonts w:ascii="Arial" w:eastAsia="Calibri" w:hAnsi="Arial" w:cs="Arial"/>
          <w:sz w:val="22"/>
          <w:szCs w:val="22"/>
        </w:rPr>
        <w:t>-1.5</w:t>
      </w:r>
      <w:r w:rsidR="00D57257" w:rsidRPr="00114A09">
        <w:rPr>
          <w:rFonts w:ascii="Arial" w:eastAsia="Calibri" w:hAnsi="Arial" w:cs="Arial"/>
          <w:sz w:val="22"/>
          <w:szCs w:val="22"/>
        </w:rPr>
        <w:t xml:space="preserve"> W/m</w:t>
      </w:r>
      <w:r w:rsidR="00D57257" w:rsidRPr="00114A09">
        <w:rPr>
          <w:rFonts w:ascii="Arial" w:eastAsia="Calibri" w:hAnsi="Arial" w:cs="Arial"/>
          <w:sz w:val="22"/>
          <w:szCs w:val="22"/>
          <w:vertAlign w:val="superscript"/>
        </w:rPr>
        <w:t>2</w:t>
      </w:r>
      <w:r w:rsidR="00D57257" w:rsidRPr="00114A09">
        <w:rPr>
          <w:rFonts w:ascii="Arial" w:eastAsia="Calibri" w:hAnsi="Arial" w:cs="Arial"/>
          <w:sz w:val="22"/>
          <w:szCs w:val="22"/>
        </w:rPr>
        <w:t>.</w:t>
      </w:r>
      <w:r w:rsidR="0027486C">
        <w:rPr>
          <w:rFonts w:ascii="Arial" w:eastAsia="Calibri" w:hAnsi="Arial" w:cs="Arial"/>
          <w:sz w:val="22"/>
          <w:szCs w:val="22"/>
        </w:rPr>
        <w:t xml:space="preserve"> </w:t>
      </w:r>
      <w:r w:rsidR="00DA2FBF">
        <w:rPr>
          <w:rFonts w:ascii="Arial" w:eastAsia="Calibri" w:hAnsi="Arial" w:cs="Arial"/>
          <w:sz w:val="22"/>
          <w:szCs w:val="22"/>
        </w:rPr>
        <w:t xml:space="preserve">A paper by </w:t>
      </w:r>
      <w:proofErr w:type="spellStart"/>
      <w:r w:rsidR="00DA2FBF">
        <w:rPr>
          <w:rFonts w:ascii="Arial" w:eastAsia="Calibri" w:hAnsi="Arial" w:cs="Arial"/>
          <w:sz w:val="22"/>
          <w:szCs w:val="22"/>
        </w:rPr>
        <w:t>Nir</w:t>
      </w:r>
      <w:proofErr w:type="spellEnd"/>
      <w:r w:rsidR="00DA2FBF">
        <w:rPr>
          <w:rFonts w:ascii="Arial" w:eastAsia="Calibri" w:hAnsi="Arial" w:cs="Arial"/>
          <w:sz w:val="22"/>
          <w:szCs w:val="22"/>
        </w:rPr>
        <w:t xml:space="preserve"> </w:t>
      </w:r>
      <w:proofErr w:type="spellStart"/>
      <w:r w:rsidR="00DA2FBF">
        <w:rPr>
          <w:rFonts w:ascii="Arial" w:eastAsia="Calibri" w:hAnsi="Arial" w:cs="Arial"/>
          <w:sz w:val="22"/>
          <w:szCs w:val="22"/>
        </w:rPr>
        <w:t>Shaviv</w:t>
      </w:r>
      <w:proofErr w:type="spellEnd"/>
      <w:r w:rsidR="00DA2FBF">
        <w:rPr>
          <w:rFonts w:ascii="Arial" w:eastAsia="Calibri" w:hAnsi="Arial" w:cs="Arial"/>
          <w:sz w:val="22"/>
          <w:szCs w:val="22"/>
        </w:rPr>
        <w:t xml:space="preserve"> compared changes in TSI with changes i</w:t>
      </w:r>
      <w:r w:rsidR="00C5222A">
        <w:rPr>
          <w:rFonts w:ascii="Arial" w:eastAsia="Calibri" w:hAnsi="Arial" w:cs="Arial"/>
          <w:sz w:val="22"/>
          <w:szCs w:val="22"/>
        </w:rPr>
        <w:t>n</w:t>
      </w:r>
      <w:r w:rsidR="00DA2FBF">
        <w:rPr>
          <w:rFonts w:ascii="Arial" w:eastAsia="Calibri" w:hAnsi="Arial" w:cs="Arial"/>
          <w:sz w:val="22"/>
          <w:szCs w:val="22"/>
        </w:rPr>
        <w:t xml:space="preserve"> sea levels</w:t>
      </w:r>
      <w:r w:rsidR="007F117D">
        <w:rPr>
          <w:rFonts w:ascii="Arial" w:eastAsia="Calibri" w:hAnsi="Arial" w:cs="Arial"/>
          <w:sz w:val="22"/>
          <w:szCs w:val="22"/>
        </w:rPr>
        <w:t>, sea surface temperature and ocean heat</w:t>
      </w:r>
      <w:r w:rsidR="00DA2FBF">
        <w:rPr>
          <w:rFonts w:ascii="Arial" w:eastAsia="Calibri" w:hAnsi="Arial" w:cs="Arial"/>
          <w:sz w:val="22"/>
          <w:szCs w:val="22"/>
        </w:rPr>
        <w:t xml:space="preserve"> and found that </w:t>
      </w:r>
      <w:r w:rsidR="00DA2FBF" w:rsidRPr="00DA2FBF">
        <w:rPr>
          <w:rFonts w:ascii="Arial" w:eastAsia="Calibri" w:hAnsi="Arial" w:cs="Arial"/>
          <w:sz w:val="22"/>
          <w:szCs w:val="22"/>
        </w:rPr>
        <w:t>the solar signal is</w:t>
      </w:r>
      <w:r w:rsidR="00DA2FBF">
        <w:rPr>
          <w:rFonts w:ascii="Arial" w:eastAsia="Calibri" w:hAnsi="Arial" w:cs="Arial"/>
          <w:sz w:val="22"/>
          <w:szCs w:val="22"/>
        </w:rPr>
        <w:t xml:space="preserve"> </w:t>
      </w:r>
      <w:r w:rsidR="00C5222A">
        <w:rPr>
          <w:rFonts w:ascii="Arial" w:eastAsia="Calibri" w:hAnsi="Arial" w:cs="Arial"/>
          <w:sz w:val="22"/>
          <w:szCs w:val="22"/>
        </w:rPr>
        <w:t>~</w:t>
      </w:r>
      <w:r w:rsidR="00DA2FBF" w:rsidRPr="00DA2FBF">
        <w:rPr>
          <w:rFonts w:ascii="Arial" w:eastAsia="Calibri" w:hAnsi="Arial" w:cs="Arial"/>
          <w:sz w:val="22"/>
          <w:szCs w:val="22"/>
        </w:rPr>
        <w:t>5–7 times larger than the change in solar irradiance alone</w:t>
      </w:r>
      <w:r w:rsidR="00DA2FBF">
        <w:rPr>
          <w:rFonts w:ascii="Arial" w:eastAsia="Calibri" w:hAnsi="Arial" w:cs="Arial"/>
          <w:sz w:val="22"/>
          <w:szCs w:val="22"/>
        </w:rPr>
        <w:t>.</w:t>
      </w:r>
      <w:r w:rsidR="00DA2FBF">
        <w:rPr>
          <w:rStyle w:val="FootnoteReference"/>
          <w:rFonts w:ascii="Arial" w:eastAsia="Calibri" w:hAnsi="Arial" w:cs="Arial"/>
          <w:sz w:val="22"/>
          <w:szCs w:val="22"/>
        </w:rPr>
        <w:footnoteReference w:id="11"/>
      </w:r>
    </w:p>
    <w:p w:rsidR="00196B77" w:rsidRDefault="0026684C" w:rsidP="00F92BB1">
      <w:pPr>
        <w:jc w:val="both"/>
        <w:rPr>
          <w:rFonts w:ascii="Arial" w:eastAsia="Calibri" w:hAnsi="Arial" w:cs="Arial"/>
          <w:sz w:val="22"/>
          <w:szCs w:val="22"/>
        </w:rPr>
      </w:pPr>
      <w:r>
        <w:rPr>
          <w:rFonts w:ascii="Arial" w:eastAsia="Calibri" w:hAnsi="Arial" w:cs="Arial"/>
          <w:sz w:val="22"/>
          <w:szCs w:val="22"/>
        </w:rPr>
        <w:t>The low solar activity during the Little Ice Age</w:t>
      </w:r>
      <w:r w:rsidR="00E16AB7">
        <w:rPr>
          <w:rFonts w:ascii="Arial" w:eastAsia="Calibri" w:hAnsi="Arial" w:cs="Arial"/>
          <w:sz w:val="22"/>
          <w:szCs w:val="22"/>
        </w:rPr>
        <w:t xml:space="preserve"> </w:t>
      </w:r>
      <w:r w:rsidR="00D010CC">
        <w:rPr>
          <w:rFonts w:ascii="Arial" w:eastAsia="Calibri" w:hAnsi="Arial" w:cs="Arial"/>
          <w:sz w:val="22"/>
          <w:szCs w:val="22"/>
        </w:rPr>
        <w:t xml:space="preserve">(LIA) </w:t>
      </w:r>
      <w:r w:rsidR="00E16AB7">
        <w:rPr>
          <w:rFonts w:ascii="Arial" w:eastAsia="Calibri" w:hAnsi="Arial" w:cs="Arial"/>
          <w:sz w:val="22"/>
          <w:szCs w:val="22"/>
        </w:rPr>
        <w:t>and the deep ocean cooling</w:t>
      </w:r>
      <w:r>
        <w:rPr>
          <w:rFonts w:ascii="Arial" w:eastAsia="Calibri" w:hAnsi="Arial" w:cs="Arial"/>
          <w:sz w:val="22"/>
          <w:szCs w:val="22"/>
        </w:rPr>
        <w:t xml:space="preserve"> imply that </w:t>
      </w:r>
      <w:r w:rsidRPr="00335D63">
        <w:rPr>
          <w:rFonts w:ascii="Arial" w:eastAsia="Calibri" w:hAnsi="Arial" w:cs="Arial"/>
          <w:sz w:val="22"/>
          <w:szCs w:val="22"/>
        </w:rPr>
        <w:t>the climate system was</w:t>
      </w:r>
      <w:r>
        <w:rPr>
          <w:rFonts w:ascii="Arial" w:eastAsia="Calibri" w:hAnsi="Arial" w:cs="Arial"/>
          <w:sz w:val="22"/>
          <w:szCs w:val="22"/>
        </w:rPr>
        <w:t>n’t</w:t>
      </w:r>
      <w:r w:rsidRPr="00335D63">
        <w:rPr>
          <w:rFonts w:ascii="Arial" w:eastAsia="Calibri" w:hAnsi="Arial" w:cs="Arial"/>
          <w:sz w:val="22"/>
          <w:szCs w:val="22"/>
        </w:rPr>
        <w:t xml:space="preserve"> in temperature equilibrium in the </w:t>
      </w:r>
      <w:r w:rsidR="00576A5B">
        <w:rPr>
          <w:rFonts w:ascii="Arial" w:eastAsia="Calibri" w:hAnsi="Arial" w:cs="Arial"/>
          <w:sz w:val="22"/>
          <w:szCs w:val="22"/>
        </w:rPr>
        <w:t xml:space="preserve">LC2018 </w:t>
      </w:r>
      <w:r w:rsidRPr="00335D63">
        <w:rPr>
          <w:rFonts w:ascii="Arial" w:eastAsia="Calibri" w:hAnsi="Arial" w:cs="Arial"/>
          <w:sz w:val="22"/>
          <w:szCs w:val="22"/>
        </w:rPr>
        <w:t>base period 1869-1882</w:t>
      </w:r>
      <w:r>
        <w:rPr>
          <w:rFonts w:ascii="Arial" w:eastAsia="Calibri" w:hAnsi="Arial" w:cs="Arial"/>
          <w:sz w:val="22"/>
          <w:szCs w:val="22"/>
        </w:rPr>
        <w:t xml:space="preserve">. </w:t>
      </w:r>
      <w:r w:rsidR="009677A2">
        <w:rPr>
          <w:rFonts w:ascii="Arial" w:eastAsia="Calibri" w:hAnsi="Arial" w:cs="Arial"/>
          <w:sz w:val="22"/>
          <w:szCs w:val="22"/>
        </w:rPr>
        <w:t>As it is difficult to quantify each of these forcings, temperature proxies</w:t>
      </w:r>
      <w:r w:rsidR="00C5222A">
        <w:rPr>
          <w:rFonts w:ascii="Arial" w:eastAsia="Calibri" w:hAnsi="Arial" w:cs="Arial"/>
          <w:sz w:val="22"/>
          <w:szCs w:val="22"/>
        </w:rPr>
        <w:t xml:space="preserve"> are used</w:t>
      </w:r>
      <w:r w:rsidR="009677A2">
        <w:rPr>
          <w:rFonts w:ascii="Arial" w:eastAsia="Calibri" w:hAnsi="Arial" w:cs="Arial"/>
          <w:sz w:val="22"/>
          <w:szCs w:val="22"/>
        </w:rPr>
        <w:t xml:space="preserve"> to estimate the natural warming since the start of the base period by extrapolating the millennium scale temperature cycle.</w:t>
      </w:r>
      <w:r>
        <w:rPr>
          <w:rFonts w:ascii="Arial" w:eastAsia="Calibri" w:hAnsi="Arial" w:cs="Arial"/>
          <w:sz w:val="22"/>
          <w:szCs w:val="22"/>
        </w:rPr>
        <w:t xml:space="preserve"> </w:t>
      </w:r>
      <w:r w:rsidR="009677A2">
        <w:rPr>
          <w:rFonts w:ascii="Arial" w:eastAsia="Calibri" w:hAnsi="Arial" w:cs="Arial"/>
          <w:sz w:val="22"/>
          <w:szCs w:val="22"/>
        </w:rPr>
        <w:t>T</w:t>
      </w:r>
      <w:r w:rsidR="00581FB2">
        <w:rPr>
          <w:rFonts w:ascii="Arial" w:eastAsia="Calibri" w:hAnsi="Arial" w:cs="Arial"/>
          <w:sz w:val="22"/>
          <w:szCs w:val="22"/>
        </w:rPr>
        <w:t xml:space="preserve">he surface temperature change should be revised downward to remove the </w:t>
      </w:r>
      <w:r w:rsidR="00440D5E">
        <w:rPr>
          <w:rFonts w:ascii="Arial" w:eastAsia="Calibri" w:hAnsi="Arial" w:cs="Arial"/>
          <w:sz w:val="22"/>
          <w:szCs w:val="22"/>
        </w:rPr>
        <w:t>natural warming from the Little Ice Age s</w:t>
      </w:r>
      <w:r w:rsidR="00B60E94">
        <w:rPr>
          <w:rFonts w:ascii="Arial" w:eastAsia="Calibri" w:hAnsi="Arial" w:cs="Arial"/>
          <w:sz w:val="22"/>
          <w:szCs w:val="22"/>
        </w:rPr>
        <w:t>o</w:t>
      </w:r>
      <w:r w:rsidR="00440D5E">
        <w:rPr>
          <w:rFonts w:ascii="Arial" w:eastAsia="Calibri" w:hAnsi="Arial" w:cs="Arial"/>
          <w:sz w:val="22"/>
          <w:szCs w:val="22"/>
        </w:rPr>
        <w:t xml:space="preserve"> that the temperature change used in the energy balance </w:t>
      </w:r>
      <w:r w:rsidR="009677A2">
        <w:rPr>
          <w:rFonts w:ascii="Arial" w:eastAsia="Calibri" w:hAnsi="Arial" w:cs="Arial"/>
          <w:sz w:val="22"/>
          <w:szCs w:val="22"/>
        </w:rPr>
        <w:t xml:space="preserve">calculations </w:t>
      </w:r>
      <w:r>
        <w:rPr>
          <w:rFonts w:ascii="Arial" w:eastAsia="Calibri" w:hAnsi="Arial" w:cs="Arial"/>
          <w:sz w:val="22"/>
          <w:szCs w:val="22"/>
        </w:rPr>
        <w:t>include</w:t>
      </w:r>
      <w:r w:rsidR="00440D5E">
        <w:rPr>
          <w:rFonts w:ascii="Arial" w:eastAsia="Calibri" w:hAnsi="Arial" w:cs="Arial"/>
          <w:sz w:val="22"/>
          <w:szCs w:val="22"/>
        </w:rPr>
        <w:t xml:space="preserve">s only </w:t>
      </w:r>
      <w:r>
        <w:rPr>
          <w:rFonts w:ascii="Arial" w:eastAsia="Calibri" w:hAnsi="Arial" w:cs="Arial"/>
          <w:sz w:val="22"/>
          <w:szCs w:val="22"/>
        </w:rPr>
        <w:t>t</w:t>
      </w:r>
      <w:r w:rsidR="00440D5E">
        <w:rPr>
          <w:rFonts w:ascii="Arial" w:eastAsia="Calibri" w:hAnsi="Arial" w:cs="Arial"/>
          <w:sz w:val="22"/>
          <w:szCs w:val="22"/>
        </w:rPr>
        <w:t>he portion that was caused by the change in anthropogenic forcing.</w:t>
      </w:r>
    </w:p>
    <w:p w:rsidR="007F117D" w:rsidRDefault="007F117D" w:rsidP="00F92BB1">
      <w:pPr>
        <w:jc w:val="both"/>
        <w:rPr>
          <w:rFonts w:ascii="Arial" w:eastAsia="Calibri" w:hAnsi="Arial" w:cs="Arial"/>
          <w:sz w:val="22"/>
          <w:szCs w:val="22"/>
        </w:rPr>
      </w:pPr>
    </w:p>
    <w:p w:rsidR="00C51034" w:rsidRPr="00280BC0" w:rsidRDefault="00C51034" w:rsidP="00F92BB1">
      <w:pPr>
        <w:jc w:val="both"/>
        <w:rPr>
          <w:rFonts w:ascii="Arial" w:eastAsia="Calibri" w:hAnsi="Arial" w:cs="Arial"/>
          <w:b/>
          <w:sz w:val="28"/>
          <w:szCs w:val="28"/>
        </w:rPr>
      </w:pPr>
      <w:r w:rsidRPr="00280BC0">
        <w:rPr>
          <w:rFonts w:ascii="Arial" w:eastAsia="Calibri" w:hAnsi="Arial" w:cs="Arial"/>
          <w:b/>
          <w:sz w:val="28"/>
          <w:szCs w:val="28"/>
        </w:rPr>
        <w:t>Adjustment for Millennium Cyclic Warming</w:t>
      </w:r>
      <w:r w:rsidR="00923C73">
        <w:rPr>
          <w:rFonts w:ascii="Arial" w:eastAsia="Calibri" w:hAnsi="Arial" w:cs="Arial"/>
          <w:b/>
          <w:sz w:val="28"/>
          <w:szCs w:val="28"/>
        </w:rPr>
        <w:t xml:space="preserve"> </w:t>
      </w:r>
    </w:p>
    <w:p w:rsidR="005877BA" w:rsidRDefault="00C51034" w:rsidP="00F92BB1">
      <w:pPr>
        <w:jc w:val="both"/>
        <w:rPr>
          <w:rFonts w:ascii="Arial" w:eastAsia="Calibri" w:hAnsi="Arial" w:cs="Arial"/>
          <w:sz w:val="22"/>
          <w:szCs w:val="22"/>
        </w:rPr>
      </w:pPr>
      <w:r w:rsidRPr="000E1259">
        <w:rPr>
          <w:rFonts w:ascii="Arial" w:eastAsia="Calibri" w:hAnsi="Arial" w:cs="Arial"/>
          <w:sz w:val="22"/>
          <w:szCs w:val="22"/>
        </w:rPr>
        <w:t>Th</w:t>
      </w:r>
      <w:r w:rsidR="00D010CC">
        <w:rPr>
          <w:rFonts w:ascii="Arial" w:eastAsia="Calibri" w:hAnsi="Arial" w:cs="Arial"/>
          <w:sz w:val="22"/>
          <w:szCs w:val="22"/>
        </w:rPr>
        <w:t>e</w:t>
      </w:r>
      <w:r w:rsidRPr="000E1259">
        <w:rPr>
          <w:rFonts w:ascii="Arial" w:eastAsia="Calibri" w:hAnsi="Arial" w:cs="Arial"/>
          <w:sz w:val="22"/>
          <w:szCs w:val="22"/>
        </w:rPr>
        <w:t xml:space="preserve"> analysis </w:t>
      </w:r>
      <w:r>
        <w:rPr>
          <w:rFonts w:ascii="Arial" w:eastAsia="Calibri" w:hAnsi="Arial" w:cs="Arial"/>
          <w:sz w:val="22"/>
          <w:szCs w:val="22"/>
        </w:rPr>
        <w:t>by Lewis</w:t>
      </w:r>
      <w:r w:rsidR="00D010CC">
        <w:rPr>
          <w:rFonts w:ascii="Arial" w:eastAsia="Calibri" w:hAnsi="Arial" w:cs="Arial"/>
          <w:sz w:val="22"/>
          <w:szCs w:val="22"/>
        </w:rPr>
        <w:t xml:space="preserve"> and Curry</w:t>
      </w:r>
      <w:r>
        <w:rPr>
          <w:rFonts w:ascii="Arial" w:eastAsia="Calibri" w:hAnsi="Arial" w:cs="Arial"/>
          <w:sz w:val="22"/>
          <w:szCs w:val="22"/>
        </w:rPr>
        <w:t xml:space="preserve"> </w:t>
      </w:r>
      <w:r w:rsidRPr="000E1259">
        <w:rPr>
          <w:rFonts w:ascii="Arial" w:eastAsia="Calibri" w:hAnsi="Arial" w:cs="Arial"/>
          <w:sz w:val="22"/>
          <w:szCs w:val="22"/>
        </w:rPr>
        <w:t xml:space="preserve">does not </w:t>
      </w:r>
      <w:r>
        <w:rPr>
          <w:rFonts w:ascii="Arial" w:eastAsia="Calibri" w:hAnsi="Arial" w:cs="Arial"/>
          <w:sz w:val="22"/>
          <w:szCs w:val="22"/>
        </w:rPr>
        <w:t xml:space="preserve">account </w:t>
      </w:r>
      <w:r w:rsidRPr="000E1259">
        <w:rPr>
          <w:rFonts w:ascii="Arial" w:eastAsia="Calibri" w:hAnsi="Arial" w:cs="Arial"/>
          <w:sz w:val="22"/>
          <w:szCs w:val="22"/>
        </w:rPr>
        <w:t xml:space="preserve">for the long-term natural warming from the </w:t>
      </w:r>
      <w:r w:rsidR="009B3C74">
        <w:rPr>
          <w:rFonts w:ascii="Arial" w:eastAsia="Calibri" w:hAnsi="Arial" w:cs="Arial"/>
          <w:sz w:val="22"/>
          <w:szCs w:val="22"/>
        </w:rPr>
        <w:t>LIA</w:t>
      </w:r>
      <w:r w:rsidR="002235FD">
        <w:rPr>
          <w:rFonts w:ascii="Arial" w:eastAsia="Calibri" w:hAnsi="Arial" w:cs="Arial"/>
          <w:sz w:val="22"/>
          <w:szCs w:val="22"/>
        </w:rPr>
        <w:t>. The temperature history shows an obvious millennium scale temperature oscillation</w:t>
      </w:r>
      <w:r w:rsidR="009B3C74">
        <w:rPr>
          <w:rFonts w:ascii="Arial" w:eastAsia="Calibri" w:hAnsi="Arial" w:cs="Arial"/>
          <w:sz w:val="22"/>
          <w:szCs w:val="22"/>
        </w:rPr>
        <w:t xml:space="preserve">, indicating </w:t>
      </w:r>
      <w:r>
        <w:rPr>
          <w:rFonts w:ascii="Arial" w:eastAsia="Calibri" w:hAnsi="Arial" w:cs="Arial"/>
          <w:sz w:val="22"/>
          <w:szCs w:val="22"/>
        </w:rPr>
        <w:t>that natural climate change accounts for a significant portion of the temperature recovery since the LIA.</w:t>
      </w:r>
      <w:r w:rsidR="00C7537A">
        <w:rPr>
          <w:rFonts w:ascii="Arial" w:eastAsia="Calibri" w:hAnsi="Arial" w:cs="Arial"/>
          <w:sz w:val="22"/>
          <w:szCs w:val="22"/>
        </w:rPr>
        <w:t xml:space="preserve"> </w:t>
      </w:r>
      <w:r w:rsidR="00DD69CD">
        <w:rPr>
          <w:rFonts w:ascii="Arial" w:eastAsia="Calibri" w:hAnsi="Arial" w:cs="Arial"/>
          <w:sz w:val="22"/>
          <w:szCs w:val="22"/>
        </w:rPr>
        <w:t xml:space="preserve">Fredrik </w:t>
      </w:r>
      <w:proofErr w:type="spellStart"/>
      <w:r w:rsidR="00DD69CD">
        <w:rPr>
          <w:rFonts w:ascii="Arial" w:eastAsia="Calibri" w:hAnsi="Arial" w:cs="Arial"/>
          <w:sz w:val="22"/>
          <w:szCs w:val="22"/>
        </w:rPr>
        <w:t>Ljungqvist</w:t>
      </w:r>
      <w:proofErr w:type="spellEnd"/>
      <w:r w:rsidR="00DD69CD">
        <w:rPr>
          <w:rFonts w:ascii="Arial" w:eastAsia="Calibri" w:hAnsi="Arial" w:cs="Arial"/>
          <w:sz w:val="22"/>
          <w:szCs w:val="22"/>
        </w:rPr>
        <w:t xml:space="preserve"> prepared a temperature reconstruction of the Extra-Tropical Northern Hemisphere (ETNH) during the last two millennia with decadal resolution using 30 temperature proxies</w:t>
      </w:r>
      <w:r w:rsidR="005877BA">
        <w:rPr>
          <w:rFonts w:ascii="Arial" w:eastAsia="Calibri" w:hAnsi="Arial" w:cs="Arial"/>
          <w:sz w:val="22"/>
          <w:szCs w:val="22"/>
        </w:rPr>
        <w:t xml:space="preserve"> as shown in figure 3</w:t>
      </w:r>
      <w:r w:rsidR="00DD69CD" w:rsidRPr="00074742">
        <w:rPr>
          <w:rFonts w:ascii="Arial" w:eastAsia="Calibri" w:hAnsi="Arial" w:cs="Arial"/>
          <w:sz w:val="22"/>
          <w:szCs w:val="22"/>
        </w:rPr>
        <w:t>.</w:t>
      </w:r>
      <w:r w:rsidR="00DD69CD">
        <w:rPr>
          <w:rFonts w:ascii="Arial" w:eastAsia="Calibri" w:hAnsi="Arial" w:cs="Arial"/>
          <w:sz w:val="22"/>
          <w:szCs w:val="22"/>
        </w:rPr>
        <w:t xml:space="preserve"> Human-caused </w:t>
      </w:r>
      <w:r w:rsidR="003A7EB6">
        <w:rPr>
          <w:rFonts w:ascii="Arial" w:eastAsia="Calibri" w:hAnsi="Arial" w:cs="Arial"/>
          <w:sz w:val="22"/>
          <w:szCs w:val="22"/>
        </w:rPr>
        <w:t>GHG</w:t>
      </w:r>
      <w:r w:rsidR="00DD69CD">
        <w:rPr>
          <w:rFonts w:ascii="Arial" w:eastAsia="Calibri" w:hAnsi="Arial" w:cs="Arial"/>
          <w:sz w:val="22"/>
          <w:szCs w:val="22"/>
        </w:rPr>
        <w:t xml:space="preserve"> emissions did not cause significant temperature change to the year 1900 because cumulative CO</w:t>
      </w:r>
      <w:r w:rsidR="00DD69CD" w:rsidRPr="00B84B83">
        <w:rPr>
          <w:rFonts w:ascii="Arial" w:eastAsia="Calibri" w:hAnsi="Arial" w:cs="Arial"/>
          <w:sz w:val="22"/>
          <w:szCs w:val="22"/>
          <w:vertAlign w:val="subscript"/>
        </w:rPr>
        <w:t>2</w:t>
      </w:r>
      <w:r w:rsidR="00DD69CD">
        <w:rPr>
          <w:rFonts w:ascii="Arial" w:eastAsia="Calibri" w:hAnsi="Arial" w:cs="Arial"/>
          <w:sz w:val="22"/>
          <w:szCs w:val="22"/>
        </w:rPr>
        <w:t xml:space="preserve"> emissions to 1900 were insignificant.</w:t>
      </w:r>
      <w:r w:rsidR="00DD69CD">
        <w:rPr>
          <w:rStyle w:val="FootnoteReference"/>
          <w:rFonts w:ascii="Arial" w:eastAsia="Calibri" w:hAnsi="Arial" w:cs="Arial"/>
          <w:sz w:val="22"/>
          <w:szCs w:val="22"/>
        </w:rPr>
        <w:footnoteReference w:id="12"/>
      </w:r>
      <w:r w:rsidR="00DD69CD">
        <w:rPr>
          <w:rFonts w:ascii="Arial" w:eastAsia="Calibri" w:hAnsi="Arial" w:cs="Arial"/>
          <w:sz w:val="22"/>
          <w:szCs w:val="22"/>
        </w:rPr>
        <w:t xml:space="preserve"> Therefore, the changes in temperature prior to 1900 are free of anthropogenic influences. </w:t>
      </w:r>
    </w:p>
    <w:p w:rsidR="009C2384" w:rsidRDefault="009C2384" w:rsidP="009C2384">
      <w:pPr>
        <w:jc w:val="both"/>
        <w:rPr>
          <w:rFonts w:ascii="Arial" w:eastAsia="Calibri" w:hAnsi="Arial" w:cs="Arial"/>
          <w:sz w:val="22"/>
          <w:szCs w:val="22"/>
        </w:rPr>
      </w:pPr>
      <w:r>
        <w:rPr>
          <w:rFonts w:ascii="Arial" w:eastAsia="Calibri" w:hAnsi="Arial" w:cs="Arial"/>
          <w:sz w:val="22"/>
          <w:szCs w:val="22"/>
        </w:rPr>
        <w:t xml:space="preserve">Extrapolations of the millennium cycle from 1900 to 2010 provide an estimate of the natural component of the temperature change. The ETNH temperature reconstruction by </w:t>
      </w:r>
      <w:proofErr w:type="spellStart"/>
      <w:r w:rsidRPr="00C7537A">
        <w:rPr>
          <w:rFonts w:ascii="Arial" w:eastAsia="Calibri" w:hAnsi="Arial" w:cs="Arial"/>
          <w:sz w:val="22"/>
          <w:szCs w:val="22"/>
        </w:rPr>
        <w:t>Ljungqvist</w:t>
      </w:r>
      <w:proofErr w:type="spellEnd"/>
      <w:r>
        <w:rPr>
          <w:rFonts w:ascii="Arial" w:eastAsia="Calibri" w:hAnsi="Arial" w:cs="Arial"/>
          <w:sz w:val="22"/>
          <w:szCs w:val="22"/>
        </w:rPr>
        <w:t xml:space="preserve"> was extrapolated to 2010 using two methods. The first method is to average the absolute value of temperature trends between the minimum</w:t>
      </w:r>
      <w:r w:rsidR="006A5982">
        <w:rPr>
          <w:rFonts w:ascii="Arial" w:eastAsia="Calibri" w:hAnsi="Arial" w:cs="Arial"/>
          <w:sz w:val="22"/>
          <w:szCs w:val="22"/>
        </w:rPr>
        <w:t>s</w:t>
      </w:r>
      <w:r>
        <w:rPr>
          <w:rFonts w:ascii="Arial" w:eastAsia="Calibri" w:hAnsi="Arial" w:cs="Arial"/>
          <w:sz w:val="22"/>
          <w:szCs w:val="22"/>
        </w:rPr>
        <w:t xml:space="preserve"> and maximums of the temperature oscillations as indicated by the line segments shown in figure 4. </w:t>
      </w:r>
      <w:r w:rsidRPr="00F83751">
        <w:rPr>
          <w:rFonts w:ascii="Arial" w:eastAsia="Calibri" w:hAnsi="Arial" w:cs="Arial"/>
          <w:sz w:val="22"/>
          <w:szCs w:val="22"/>
        </w:rPr>
        <w:t>The average of the absolute natural temperature change over the four periods was 0.095 °C/century</w:t>
      </w:r>
      <w:r>
        <w:rPr>
          <w:rFonts w:ascii="Arial" w:eastAsia="Calibri" w:hAnsi="Arial" w:cs="Arial"/>
          <w:sz w:val="22"/>
          <w:szCs w:val="22"/>
        </w:rPr>
        <w:t>. The second method is to fit a sine curve to the temperature series up to 1900. The amplitude, wavelength and positions were adjusted to create the best fit to the data.</w:t>
      </w:r>
    </w:p>
    <w:p w:rsidR="005877BA" w:rsidRDefault="005877BA" w:rsidP="00F92BB1">
      <w:pPr>
        <w:jc w:val="both"/>
        <w:rPr>
          <w:rFonts w:ascii="Arial" w:eastAsia="Calibri" w:hAnsi="Arial" w:cs="Arial"/>
          <w:sz w:val="22"/>
          <w:szCs w:val="22"/>
        </w:rPr>
      </w:pPr>
      <w:r w:rsidRPr="0023752D">
        <w:rPr>
          <w:rFonts w:ascii="Arial" w:eastAsia="Calibri" w:hAnsi="Arial" w:cs="Arial"/>
          <w:noProof/>
          <w:sz w:val="22"/>
          <w:szCs w:val="22"/>
          <w:lang w:eastAsia="en-US"/>
        </w:rPr>
        <w:lastRenderedPageBreak/>
        <w:drawing>
          <wp:inline distT="0" distB="0" distL="0" distR="0" wp14:anchorId="37566670" wp14:editId="08A4A25E">
            <wp:extent cx="4663327" cy="2751826"/>
            <wp:effectExtent l="0" t="0" r="4445" b="0"/>
            <wp:docPr id="11" name="Picture 4" descr="Temp_NH_ExoTro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mp_NH_ExoTropi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85873" cy="2765130"/>
                    </a:xfrm>
                    <a:prstGeom prst="rect">
                      <a:avLst/>
                    </a:prstGeom>
                    <a:noFill/>
                    <a:ln>
                      <a:noFill/>
                    </a:ln>
                  </pic:spPr>
                </pic:pic>
              </a:graphicData>
            </a:graphic>
          </wp:inline>
        </w:drawing>
      </w:r>
    </w:p>
    <w:p w:rsidR="005877BA" w:rsidRDefault="005877BA" w:rsidP="00F92BB1">
      <w:pPr>
        <w:jc w:val="both"/>
        <w:rPr>
          <w:rFonts w:ascii="Arial" w:eastAsia="Calibri" w:hAnsi="Arial" w:cs="Arial"/>
          <w:sz w:val="22"/>
          <w:szCs w:val="22"/>
        </w:rPr>
      </w:pPr>
      <w:proofErr w:type="gramStart"/>
      <w:r>
        <w:rPr>
          <w:rFonts w:ascii="Arial" w:eastAsia="Calibri" w:hAnsi="Arial" w:cs="Arial"/>
          <w:sz w:val="22"/>
          <w:szCs w:val="22"/>
        </w:rPr>
        <w:t>Figure 3.</w:t>
      </w:r>
      <w:proofErr w:type="gramEnd"/>
      <w:r>
        <w:rPr>
          <w:rFonts w:ascii="Arial" w:eastAsia="Calibri" w:hAnsi="Arial" w:cs="Arial"/>
          <w:sz w:val="22"/>
          <w:szCs w:val="22"/>
        </w:rPr>
        <w:t xml:space="preserve"> </w:t>
      </w:r>
      <w:r w:rsidRPr="005877BA">
        <w:rPr>
          <w:rFonts w:ascii="Arial" w:eastAsia="Calibri" w:hAnsi="Arial" w:cs="Arial"/>
          <w:sz w:val="22"/>
          <w:szCs w:val="22"/>
        </w:rPr>
        <w:t>Extra-</w:t>
      </w:r>
      <w:r w:rsidR="006A5982">
        <w:rPr>
          <w:rFonts w:ascii="Arial" w:eastAsia="Calibri" w:hAnsi="Arial" w:cs="Arial"/>
          <w:sz w:val="22"/>
          <w:szCs w:val="22"/>
        </w:rPr>
        <w:t>T</w:t>
      </w:r>
      <w:r w:rsidRPr="005877BA">
        <w:rPr>
          <w:rFonts w:ascii="Arial" w:eastAsia="Calibri" w:hAnsi="Arial" w:cs="Arial"/>
          <w:sz w:val="22"/>
          <w:szCs w:val="22"/>
        </w:rPr>
        <w:t xml:space="preserve">ropical Northern Hemisphere temperatures utilizing many </w:t>
      </w:r>
      <w:proofErr w:type="spellStart"/>
      <w:r w:rsidRPr="005877BA">
        <w:rPr>
          <w:rFonts w:ascii="Arial" w:eastAsia="Calibri" w:hAnsi="Arial" w:cs="Arial"/>
          <w:sz w:val="22"/>
          <w:szCs w:val="22"/>
        </w:rPr>
        <w:t>palaeo</w:t>
      </w:r>
      <w:proofErr w:type="spellEnd"/>
      <w:r w:rsidRPr="005877BA">
        <w:rPr>
          <w:rFonts w:ascii="Arial" w:eastAsia="Calibri" w:hAnsi="Arial" w:cs="Arial"/>
          <w:sz w:val="22"/>
          <w:szCs w:val="22"/>
        </w:rPr>
        <w:t xml:space="preserve">-temperature proxy records, adapted from </w:t>
      </w:r>
      <w:proofErr w:type="spellStart"/>
      <w:r w:rsidRPr="005877BA">
        <w:rPr>
          <w:rFonts w:ascii="Arial" w:eastAsia="Calibri" w:hAnsi="Arial" w:cs="Arial"/>
          <w:sz w:val="22"/>
          <w:szCs w:val="22"/>
        </w:rPr>
        <w:t>Ljungqvist</w:t>
      </w:r>
      <w:proofErr w:type="spellEnd"/>
      <w:r w:rsidRPr="005877BA">
        <w:rPr>
          <w:rFonts w:ascii="Arial" w:eastAsia="Calibri" w:hAnsi="Arial" w:cs="Arial"/>
          <w:sz w:val="22"/>
          <w:szCs w:val="22"/>
        </w:rPr>
        <w:t xml:space="preserve"> 2010. The shading represents 2 standard deviation errors. RWP = Roman Warm Period AD 1-300; DACP = Dark Age Cold Period 300-900; MWP = Medieval Warm Period 800-1300; LIA = Little Ice Age 1300-1900.</w:t>
      </w:r>
    </w:p>
    <w:p w:rsidR="005877BA" w:rsidRDefault="005877BA" w:rsidP="00F92BB1">
      <w:pPr>
        <w:jc w:val="both"/>
        <w:rPr>
          <w:rFonts w:ascii="Arial" w:eastAsia="Calibri" w:hAnsi="Arial" w:cs="Arial"/>
          <w:sz w:val="22"/>
          <w:szCs w:val="22"/>
        </w:rPr>
      </w:pPr>
    </w:p>
    <w:p w:rsidR="00E974E5" w:rsidRDefault="00DD69CD" w:rsidP="00F516A6">
      <w:pPr>
        <w:jc w:val="both"/>
        <w:rPr>
          <w:rFonts w:ascii="Arial" w:eastAsia="Calibri" w:hAnsi="Arial" w:cs="Arial"/>
          <w:sz w:val="22"/>
          <w:szCs w:val="22"/>
        </w:rPr>
      </w:pPr>
      <w:r>
        <w:rPr>
          <w:rFonts w:ascii="Arial" w:eastAsia="Calibri" w:hAnsi="Arial" w:cs="Arial"/>
          <w:noProof/>
          <w:sz w:val="22"/>
          <w:szCs w:val="22"/>
          <w:lang w:eastAsia="en-US"/>
        </w:rPr>
        <w:drawing>
          <wp:inline distT="0" distB="0" distL="0" distR="0">
            <wp:extent cx="4968815" cy="3157534"/>
            <wp:effectExtent l="0" t="0" r="381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jungqvist-ETNH-temp.jpg"/>
                    <pic:cNvPicPr/>
                  </pic:nvPicPr>
                  <pic:blipFill>
                    <a:blip r:embed="rId15">
                      <a:extLst>
                        <a:ext uri="{28A0092B-C50C-407E-A947-70E740481C1C}">
                          <a14:useLocalDpi xmlns:a14="http://schemas.microsoft.com/office/drawing/2010/main" val="0"/>
                        </a:ext>
                      </a:extLst>
                    </a:blip>
                    <a:stretch>
                      <a:fillRect/>
                    </a:stretch>
                  </pic:blipFill>
                  <pic:spPr>
                    <a:xfrm>
                      <a:off x="0" y="0"/>
                      <a:ext cx="4978786" cy="3163870"/>
                    </a:xfrm>
                    <a:prstGeom prst="rect">
                      <a:avLst/>
                    </a:prstGeom>
                  </pic:spPr>
                </pic:pic>
              </a:graphicData>
            </a:graphic>
          </wp:inline>
        </w:drawing>
      </w:r>
    </w:p>
    <w:p w:rsidR="00F516A6" w:rsidRPr="00222006" w:rsidRDefault="00315663" w:rsidP="00F516A6">
      <w:pPr>
        <w:jc w:val="both"/>
        <w:rPr>
          <w:rFonts w:ascii="Arial" w:eastAsia="Calibri" w:hAnsi="Arial" w:cs="Arial"/>
          <w:sz w:val="22"/>
          <w:szCs w:val="22"/>
        </w:rPr>
      </w:pPr>
      <w:proofErr w:type="gramStart"/>
      <w:r w:rsidRPr="00222006">
        <w:rPr>
          <w:rFonts w:ascii="Arial" w:eastAsia="Calibri" w:hAnsi="Arial" w:cs="Arial"/>
          <w:sz w:val="22"/>
          <w:szCs w:val="22"/>
        </w:rPr>
        <w:t xml:space="preserve">Figure </w:t>
      </w:r>
      <w:r w:rsidR="00222006" w:rsidRPr="00222006">
        <w:rPr>
          <w:rFonts w:ascii="Arial" w:eastAsia="Calibri" w:hAnsi="Arial" w:cs="Arial"/>
          <w:sz w:val="22"/>
          <w:szCs w:val="22"/>
        </w:rPr>
        <w:t>4</w:t>
      </w:r>
      <w:r w:rsidRPr="00222006">
        <w:rPr>
          <w:rFonts w:ascii="Arial" w:eastAsia="Calibri" w:hAnsi="Arial" w:cs="Arial"/>
          <w:sz w:val="22"/>
          <w:szCs w:val="22"/>
        </w:rPr>
        <w:t>.</w:t>
      </w:r>
      <w:proofErr w:type="gramEnd"/>
      <w:r w:rsidRPr="00222006">
        <w:rPr>
          <w:rFonts w:ascii="Arial" w:eastAsia="Calibri" w:hAnsi="Arial" w:cs="Arial"/>
          <w:sz w:val="22"/>
          <w:szCs w:val="22"/>
        </w:rPr>
        <w:t xml:space="preserve"> Extra-tropical Northern Hemisphere temperature change</w:t>
      </w:r>
      <w:r w:rsidR="00E0226E" w:rsidRPr="00222006">
        <w:rPr>
          <w:rFonts w:ascii="Arial" w:eastAsia="Calibri" w:hAnsi="Arial" w:cs="Arial"/>
          <w:sz w:val="22"/>
          <w:szCs w:val="22"/>
        </w:rPr>
        <w:t xml:space="preserve"> years 1 – </w:t>
      </w:r>
      <w:r w:rsidR="00222006">
        <w:rPr>
          <w:rFonts w:ascii="Arial" w:eastAsia="Calibri" w:hAnsi="Arial" w:cs="Arial"/>
          <w:sz w:val="22"/>
          <w:szCs w:val="22"/>
        </w:rPr>
        <w:t>20</w:t>
      </w:r>
      <w:r w:rsidR="00E0226E" w:rsidRPr="00222006">
        <w:rPr>
          <w:rFonts w:ascii="Arial" w:eastAsia="Calibri" w:hAnsi="Arial" w:cs="Arial"/>
          <w:sz w:val="22"/>
          <w:szCs w:val="22"/>
        </w:rPr>
        <w:t>00,</w:t>
      </w:r>
      <w:r w:rsidR="00F44C2C" w:rsidRPr="00222006">
        <w:rPr>
          <w:rFonts w:ascii="Arial" w:eastAsia="Calibri" w:hAnsi="Arial" w:cs="Arial"/>
          <w:sz w:val="22"/>
          <w:szCs w:val="22"/>
        </w:rPr>
        <w:t xml:space="preserve"> adapted from </w:t>
      </w:r>
      <w:proofErr w:type="spellStart"/>
      <w:r w:rsidR="00F44C2C" w:rsidRPr="00222006">
        <w:rPr>
          <w:rFonts w:ascii="Arial" w:eastAsia="Calibri" w:hAnsi="Arial" w:cs="Arial"/>
          <w:sz w:val="22"/>
          <w:szCs w:val="22"/>
        </w:rPr>
        <w:t>Ljungqvist</w:t>
      </w:r>
      <w:proofErr w:type="spellEnd"/>
      <w:r w:rsidR="00F44C2C" w:rsidRPr="00222006">
        <w:rPr>
          <w:rFonts w:ascii="Arial" w:eastAsia="Calibri" w:hAnsi="Arial" w:cs="Arial"/>
          <w:sz w:val="22"/>
          <w:szCs w:val="22"/>
        </w:rPr>
        <w:t xml:space="preserve"> 2010</w:t>
      </w:r>
      <w:r w:rsidRPr="00222006">
        <w:rPr>
          <w:rFonts w:ascii="Arial" w:eastAsia="Calibri" w:hAnsi="Arial" w:cs="Arial"/>
          <w:sz w:val="22"/>
          <w:szCs w:val="22"/>
        </w:rPr>
        <w:t xml:space="preserve"> with line segments</w:t>
      </w:r>
      <w:r w:rsidR="00222006">
        <w:rPr>
          <w:rFonts w:ascii="Arial" w:eastAsia="Calibri" w:hAnsi="Arial" w:cs="Arial"/>
          <w:sz w:val="22"/>
          <w:szCs w:val="22"/>
        </w:rPr>
        <w:t xml:space="preserve"> in purple and a sine curve in red fitted to the data up to 1900</w:t>
      </w:r>
      <w:r w:rsidRPr="00222006">
        <w:rPr>
          <w:rFonts w:ascii="Arial" w:eastAsia="Calibri" w:hAnsi="Arial" w:cs="Arial"/>
          <w:sz w:val="22"/>
          <w:szCs w:val="22"/>
        </w:rPr>
        <w:t xml:space="preserve">. </w:t>
      </w:r>
      <w:r w:rsidR="00222006">
        <w:rPr>
          <w:rFonts w:ascii="Arial" w:eastAsia="Calibri" w:hAnsi="Arial" w:cs="Arial"/>
          <w:sz w:val="22"/>
          <w:szCs w:val="22"/>
        </w:rPr>
        <w:t>The green curve is an extrapolation of the sine curve to 2010.</w:t>
      </w:r>
    </w:p>
    <w:p w:rsidR="00743B8E" w:rsidRDefault="00743B8E" w:rsidP="00F516A6">
      <w:pPr>
        <w:jc w:val="both"/>
        <w:rPr>
          <w:rFonts w:ascii="Arial" w:eastAsia="Calibri" w:hAnsi="Arial" w:cs="Arial"/>
          <w:sz w:val="22"/>
          <w:szCs w:val="22"/>
        </w:rPr>
      </w:pPr>
      <w:r>
        <w:rPr>
          <w:rFonts w:ascii="Arial" w:eastAsia="Calibri" w:hAnsi="Arial" w:cs="Arial"/>
          <w:sz w:val="22"/>
          <w:szCs w:val="22"/>
        </w:rPr>
        <w:lastRenderedPageBreak/>
        <w:t xml:space="preserve">The temperature change from the center of the base to final periods, 1875 to 2010 was 0.107 </w:t>
      </w:r>
      <w:r>
        <w:rPr>
          <w:rFonts w:ascii="Calibri" w:eastAsia="Calibri" w:hAnsi="Calibri" w:cs="Calibri"/>
          <w:sz w:val="22"/>
          <w:szCs w:val="22"/>
        </w:rPr>
        <w:t>°</w:t>
      </w:r>
      <w:r>
        <w:rPr>
          <w:rFonts w:ascii="Arial" w:eastAsia="Calibri" w:hAnsi="Arial" w:cs="Arial"/>
          <w:sz w:val="22"/>
          <w:szCs w:val="22"/>
        </w:rPr>
        <w:t xml:space="preserve">C/century. We estimate the natural climate change over this period is the average of the two methods, being 0.101 </w:t>
      </w:r>
      <w:r w:rsidRPr="00743B8E">
        <w:rPr>
          <w:rFonts w:ascii="Arial" w:eastAsia="Calibri" w:hAnsi="Arial" w:cs="Arial"/>
          <w:sz w:val="22"/>
          <w:szCs w:val="22"/>
        </w:rPr>
        <w:t>°C/century</w:t>
      </w:r>
      <w:r>
        <w:rPr>
          <w:rFonts w:ascii="Arial" w:eastAsia="Calibri" w:hAnsi="Arial" w:cs="Arial"/>
          <w:sz w:val="22"/>
          <w:szCs w:val="22"/>
        </w:rPr>
        <w:t>.</w:t>
      </w:r>
    </w:p>
    <w:p w:rsidR="00F516A6" w:rsidRDefault="00F516A6" w:rsidP="00F516A6">
      <w:pPr>
        <w:jc w:val="both"/>
        <w:rPr>
          <w:rFonts w:ascii="Arial" w:eastAsia="Calibri" w:hAnsi="Arial" w:cs="Arial"/>
          <w:sz w:val="22"/>
          <w:szCs w:val="22"/>
        </w:rPr>
      </w:pPr>
      <w:r>
        <w:rPr>
          <w:rFonts w:ascii="Arial" w:eastAsia="Calibri" w:hAnsi="Arial" w:cs="Arial"/>
          <w:sz w:val="22"/>
          <w:szCs w:val="22"/>
        </w:rPr>
        <w:t xml:space="preserve">The </w:t>
      </w:r>
      <w:proofErr w:type="spellStart"/>
      <w:r w:rsidRPr="00E1784B">
        <w:rPr>
          <w:rFonts w:ascii="Arial" w:eastAsia="Calibri" w:hAnsi="Arial" w:cs="Arial"/>
          <w:sz w:val="22"/>
          <w:szCs w:val="22"/>
        </w:rPr>
        <w:t>Ljungqvist</w:t>
      </w:r>
      <w:proofErr w:type="spellEnd"/>
      <w:r w:rsidRPr="00E1784B">
        <w:rPr>
          <w:rFonts w:ascii="Arial" w:eastAsia="Calibri" w:hAnsi="Arial" w:cs="Arial"/>
          <w:sz w:val="22"/>
          <w:szCs w:val="22"/>
        </w:rPr>
        <w:t xml:space="preserve"> 2010</w:t>
      </w:r>
      <w:r>
        <w:rPr>
          <w:rFonts w:ascii="Arial" w:eastAsia="Calibri" w:hAnsi="Arial" w:cs="Arial"/>
          <w:sz w:val="22"/>
          <w:szCs w:val="22"/>
        </w:rPr>
        <w:t xml:space="preserve"> paper gives several reasons why the reconstruction likely </w:t>
      </w:r>
      <w:r w:rsidR="00585F3D">
        <w:rPr>
          <w:rFonts w:ascii="Arial" w:eastAsia="Calibri" w:hAnsi="Arial" w:cs="Arial"/>
          <w:sz w:val="22"/>
          <w:szCs w:val="22"/>
        </w:rPr>
        <w:t xml:space="preserve">"seriously </w:t>
      </w:r>
      <w:r>
        <w:rPr>
          <w:rFonts w:ascii="Arial" w:eastAsia="Calibri" w:hAnsi="Arial" w:cs="Arial"/>
          <w:sz w:val="22"/>
          <w:szCs w:val="22"/>
        </w:rPr>
        <w:t>underestimates</w:t>
      </w:r>
      <w:r w:rsidR="00585F3D">
        <w:rPr>
          <w:rFonts w:ascii="Arial" w:eastAsia="Calibri" w:hAnsi="Arial" w:cs="Arial"/>
          <w:sz w:val="22"/>
          <w:szCs w:val="22"/>
        </w:rPr>
        <w:t>"</w:t>
      </w:r>
      <w:r>
        <w:rPr>
          <w:rFonts w:ascii="Arial" w:eastAsia="Calibri" w:hAnsi="Arial" w:cs="Arial"/>
          <w:sz w:val="22"/>
          <w:szCs w:val="22"/>
        </w:rPr>
        <w:t xml:space="preserve"> the temperature variability</w:t>
      </w:r>
      <w:r w:rsidR="00585F3D" w:rsidRPr="00585F3D">
        <w:rPr>
          <w:rFonts w:ascii="Arial" w:eastAsia="Calibri" w:hAnsi="Arial" w:cs="Arial"/>
          <w:sz w:val="22"/>
          <w:szCs w:val="22"/>
        </w:rPr>
        <w:t xml:space="preserve"> </w:t>
      </w:r>
      <w:r w:rsidR="00585F3D">
        <w:rPr>
          <w:rFonts w:ascii="Arial" w:eastAsia="Calibri" w:hAnsi="Arial" w:cs="Arial"/>
          <w:sz w:val="22"/>
          <w:szCs w:val="22"/>
        </w:rPr>
        <w:t>but does not make any corrections to his reconstruction.</w:t>
      </w:r>
      <w:r>
        <w:rPr>
          <w:rFonts w:ascii="Arial" w:eastAsia="Calibri" w:hAnsi="Arial" w:cs="Arial"/>
          <w:sz w:val="22"/>
          <w:szCs w:val="22"/>
        </w:rPr>
        <w:t xml:space="preserve"> The tree-ring proxies are biased toward the summer growing season. If the </w:t>
      </w:r>
      <w:r w:rsidR="00CB111D">
        <w:rPr>
          <w:rFonts w:ascii="Arial" w:eastAsia="Calibri" w:hAnsi="Arial" w:cs="Arial"/>
          <w:sz w:val="22"/>
          <w:szCs w:val="22"/>
        </w:rPr>
        <w:t xml:space="preserve">warming from the </w:t>
      </w:r>
      <w:r w:rsidR="005B4DD9">
        <w:rPr>
          <w:rFonts w:ascii="Arial" w:eastAsia="Calibri" w:hAnsi="Arial" w:cs="Arial"/>
          <w:sz w:val="22"/>
          <w:szCs w:val="22"/>
        </w:rPr>
        <w:t xml:space="preserve">LIA </w:t>
      </w:r>
      <w:r>
        <w:rPr>
          <w:rFonts w:ascii="Arial" w:eastAsia="Calibri" w:hAnsi="Arial" w:cs="Arial"/>
          <w:sz w:val="22"/>
          <w:szCs w:val="22"/>
        </w:rPr>
        <w:t>was more pronounced during winter months</w:t>
      </w:r>
      <w:r w:rsidR="00CB111D">
        <w:rPr>
          <w:rFonts w:ascii="Arial" w:eastAsia="Calibri" w:hAnsi="Arial" w:cs="Arial"/>
          <w:sz w:val="22"/>
          <w:szCs w:val="22"/>
        </w:rPr>
        <w:t xml:space="preserve"> than during the growing season,</w:t>
      </w:r>
      <w:r>
        <w:rPr>
          <w:rFonts w:ascii="Arial" w:eastAsia="Calibri" w:hAnsi="Arial" w:cs="Arial"/>
          <w:sz w:val="22"/>
          <w:szCs w:val="22"/>
        </w:rPr>
        <w:t xml:space="preserve"> the estimate </w:t>
      </w:r>
      <w:r w:rsidR="00CB111D">
        <w:rPr>
          <w:rFonts w:ascii="Arial" w:eastAsia="Calibri" w:hAnsi="Arial" w:cs="Arial"/>
          <w:sz w:val="22"/>
          <w:szCs w:val="22"/>
        </w:rPr>
        <w:t xml:space="preserve">of the annual temperature rise </w:t>
      </w:r>
      <w:r>
        <w:rPr>
          <w:rFonts w:ascii="Arial" w:eastAsia="Calibri" w:hAnsi="Arial" w:cs="Arial"/>
          <w:sz w:val="22"/>
          <w:szCs w:val="22"/>
        </w:rPr>
        <w:t xml:space="preserve">would be biased too </w:t>
      </w:r>
      <w:r w:rsidR="00CB111D">
        <w:rPr>
          <w:rFonts w:ascii="Arial" w:eastAsia="Calibri" w:hAnsi="Arial" w:cs="Arial"/>
          <w:sz w:val="22"/>
          <w:szCs w:val="22"/>
        </w:rPr>
        <w:t>low</w:t>
      </w:r>
      <w:r>
        <w:rPr>
          <w:rFonts w:ascii="Arial" w:eastAsia="Calibri" w:hAnsi="Arial" w:cs="Arial"/>
          <w:sz w:val="22"/>
          <w:szCs w:val="22"/>
        </w:rPr>
        <w:t xml:space="preserve">. The large dating </w:t>
      </w:r>
      <w:r w:rsidR="00576374">
        <w:rPr>
          <w:rFonts w:ascii="Arial" w:eastAsia="Calibri" w:hAnsi="Arial" w:cs="Arial"/>
          <w:sz w:val="22"/>
          <w:szCs w:val="22"/>
        </w:rPr>
        <w:t>uncertainties of the sediment proxies have</w:t>
      </w:r>
      <w:r>
        <w:rPr>
          <w:rFonts w:ascii="Arial" w:eastAsia="Calibri" w:hAnsi="Arial" w:cs="Arial"/>
          <w:sz w:val="22"/>
          <w:szCs w:val="22"/>
        </w:rPr>
        <w:t xml:space="preserve"> the effect of "flattening out" the temperatures so the true magnitude of the </w:t>
      </w:r>
      <w:r w:rsidR="00743B8E">
        <w:rPr>
          <w:rFonts w:ascii="Arial" w:eastAsia="Calibri" w:hAnsi="Arial" w:cs="Arial"/>
          <w:sz w:val="22"/>
          <w:szCs w:val="22"/>
        </w:rPr>
        <w:t xml:space="preserve">temperature change between </w:t>
      </w:r>
      <w:r>
        <w:rPr>
          <w:rFonts w:ascii="Arial" w:eastAsia="Calibri" w:hAnsi="Arial" w:cs="Arial"/>
          <w:sz w:val="22"/>
          <w:szCs w:val="22"/>
        </w:rPr>
        <w:t xml:space="preserve">warm and cold periods </w:t>
      </w:r>
      <w:r w:rsidR="00743B8E">
        <w:rPr>
          <w:rFonts w:ascii="Arial" w:eastAsia="Calibri" w:hAnsi="Arial" w:cs="Arial"/>
          <w:sz w:val="22"/>
          <w:szCs w:val="22"/>
        </w:rPr>
        <w:t>is</w:t>
      </w:r>
      <w:r>
        <w:rPr>
          <w:rFonts w:ascii="Arial" w:eastAsia="Calibri" w:hAnsi="Arial" w:cs="Arial"/>
          <w:sz w:val="22"/>
          <w:szCs w:val="22"/>
        </w:rPr>
        <w:t xml:space="preserve"> underestimated. </w:t>
      </w:r>
    </w:p>
    <w:p w:rsidR="006C2B8C" w:rsidRDefault="00F516A6" w:rsidP="00937D61">
      <w:pPr>
        <w:jc w:val="both"/>
        <w:rPr>
          <w:rFonts w:ascii="Arial" w:eastAsia="Calibri" w:hAnsi="Arial" w:cs="Arial"/>
          <w:sz w:val="22"/>
          <w:szCs w:val="22"/>
        </w:rPr>
      </w:pPr>
      <w:r>
        <w:rPr>
          <w:rFonts w:ascii="Arial" w:eastAsia="Calibri" w:hAnsi="Arial" w:cs="Arial"/>
          <w:sz w:val="22"/>
          <w:szCs w:val="22"/>
        </w:rPr>
        <w:t>The proxy temperature</w:t>
      </w:r>
      <w:r w:rsidR="00D010CC">
        <w:rPr>
          <w:rFonts w:ascii="Arial" w:eastAsia="Calibri" w:hAnsi="Arial" w:cs="Arial"/>
          <w:sz w:val="22"/>
          <w:szCs w:val="22"/>
        </w:rPr>
        <w:t>s</w:t>
      </w:r>
      <w:r>
        <w:rPr>
          <w:rFonts w:ascii="Arial" w:eastAsia="Calibri" w:hAnsi="Arial" w:cs="Arial"/>
          <w:sz w:val="22"/>
          <w:szCs w:val="22"/>
        </w:rPr>
        <w:t xml:space="preserve"> did not rise as sharply during the 20th century as the thermometer record did, indicating the instrument temperature record is biased high due to the uncorrected urban heat island effect (UHIE) and/or underestimated reconstructed temperature variations from the proxies</w:t>
      </w:r>
      <w:r w:rsidR="00A82639">
        <w:rPr>
          <w:rFonts w:ascii="Arial" w:eastAsia="Calibri" w:hAnsi="Arial" w:cs="Arial"/>
          <w:sz w:val="22"/>
          <w:szCs w:val="22"/>
        </w:rPr>
        <w:t>.</w:t>
      </w:r>
      <w:r w:rsidR="00DC0255">
        <w:rPr>
          <w:rFonts w:ascii="Arial" w:eastAsia="Calibri" w:hAnsi="Arial" w:cs="Arial"/>
          <w:sz w:val="22"/>
          <w:szCs w:val="22"/>
        </w:rPr>
        <w:t xml:space="preserve"> </w:t>
      </w:r>
    </w:p>
    <w:p w:rsidR="00052385" w:rsidRDefault="00DB2DE7" w:rsidP="006C2B8C">
      <w:pPr>
        <w:jc w:val="both"/>
        <w:rPr>
          <w:rFonts w:ascii="Arial" w:eastAsia="Calibri" w:hAnsi="Arial" w:cs="Arial"/>
          <w:sz w:val="22"/>
          <w:szCs w:val="22"/>
        </w:rPr>
      </w:pPr>
      <w:r w:rsidRPr="00DB2DE7">
        <w:rPr>
          <w:rFonts w:ascii="Arial" w:eastAsia="Calibri" w:hAnsi="Arial" w:cs="Arial"/>
          <w:sz w:val="22"/>
          <w:szCs w:val="22"/>
        </w:rPr>
        <w:t>The annual temperatures were compared to the weighted average of the growing season months during two decades of the coldest part of the Global Historical Climate Network record</w:t>
      </w:r>
      <w:r w:rsidR="00052385">
        <w:rPr>
          <w:rStyle w:val="FootnoteReference"/>
          <w:rFonts w:ascii="Arial" w:eastAsia="Calibri" w:hAnsi="Arial" w:cs="Arial"/>
          <w:sz w:val="22"/>
          <w:szCs w:val="22"/>
        </w:rPr>
        <w:footnoteReference w:id="13"/>
      </w:r>
      <w:r w:rsidRPr="00DB2DE7">
        <w:rPr>
          <w:rFonts w:ascii="Arial" w:eastAsia="Calibri" w:hAnsi="Arial" w:cs="Arial"/>
          <w:sz w:val="22"/>
          <w:szCs w:val="22"/>
        </w:rPr>
        <w:t xml:space="preserve">, 1960 to 1979, and the warmest part of the record, 1995 to 2014, to determine the seasonal growing bias. </w:t>
      </w:r>
      <w:r w:rsidR="004A6E50">
        <w:rPr>
          <w:rFonts w:ascii="Arial" w:eastAsia="Calibri" w:hAnsi="Arial" w:cs="Arial"/>
          <w:sz w:val="22"/>
          <w:szCs w:val="22"/>
        </w:rPr>
        <w:t>The annual temperatures rose 23% more than the tree growing season temperature did, weighted by the monthly tree growth rates</w:t>
      </w:r>
      <w:r w:rsidR="004A6E50">
        <w:rPr>
          <w:rStyle w:val="FootnoteReference"/>
          <w:rFonts w:ascii="Arial" w:eastAsia="Calibri" w:hAnsi="Arial" w:cs="Arial"/>
          <w:sz w:val="22"/>
          <w:szCs w:val="22"/>
        </w:rPr>
        <w:footnoteReference w:id="14"/>
      </w:r>
      <w:r w:rsidR="004A6E50">
        <w:rPr>
          <w:rFonts w:ascii="Arial" w:eastAsia="Calibri" w:hAnsi="Arial" w:cs="Arial"/>
          <w:sz w:val="22"/>
          <w:szCs w:val="22"/>
        </w:rPr>
        <w:t xml:space="preserve">, indicating that the tree-ring proxies underestimate the temperature variability. </w:t>
      </w:r>
      <w:r w:rsidR="00052385" w:rsidRPr="006C2B8C">
        <w:rPr>
          <w:rFonts w:ascii="Arial" w:eastAsia="Calibri" w:hAnsi="Arial" w:cs="Arial"/>
          <w:sz w:val="22"/>
          <w:szCs w:val="22"/>
        </w:rPr>
        <w:t xml:space="preserve">Assuming that the seasonal temperature variability over the last century </w:t>
      </w:r>
      <w:r w:rsidR="00052385">
        <w:rPr>
          <w:rFonts w:ascii="Arial" w:eastAsia="Calibri" w:hAnsi="Arial" w:cs="Arial"/>
          <w:sz w:val="22"/>
          <w:szCs w:val="22"/>
        </w:rPr>
        <w:t>wa</w:t>
      </w:r>
      <w:r w:rsidR="00052385" w:rsidRPr="006C2B8C">
        <w:rPr>
          <w:rFonts w:ascii="Arial" w:eastAsia="Calibri" w:hAnsi="Arial" w:cs="Arial"/>
          <w:sz w:val="22"/>
          <w:szCs w:val="22"/>
        </w:rPr>
        <w:t xml:space="preserve">s similar to that over the last two millennia, </w:t>
      </w:r>
      <w:r w:rsidR="00052385">
        <w:rPr>
          <w:rFonts w:ascii="Arial" w:eastAsia="Calibri" w:hAnsi="Arial" w:cs="Arial"/>
          <w:sz w:val="22"/>
          <w:szCs w:val="22"/>
        </w:rPr>
        <w:t>the</w:t>
      </w:r>
      <w:r w:rsidR="00052385" w:rsidRPr="006C2B8C">
        <w:rPr>
          <w:rFonts w:ascii="Arial" w:eastAsia="Calibri" w:hAnsi="Arial" w:cs="Arial"/>
          <w:sz w:val="22"/>
          <w:szCs w:val="22"/>
        </w:rPr>
        <w:t xml:space="preserve"> tree-ring proxy temperature variability should be increased by 23%. </w:t>
      </w:r>
      <w:r w:rsidR="00052385">
        <w:rPr>
          <w:rFonts w:ascii="Arial" w:eastAsia="Calibri" w:hAnsi="Arial" w:cs="Arial"/>
          <w:sz w:val="22"/>
          <w:szCs w:val="22"/>
        </w:rPr>
        <w:t>Eight of the 30 proxies have this tree-ring seasonal bias.</w:t>
      </w:r>
    </w:p>
    <w:p w:rsidR="00967B26" w:rsidRDefault="00052385" w:rsidP="006C2B8C">
      <w:pPr>
        <w:jc w:val="both"/>
        <w:rPr>
          <w:rFonts w:ascii="Arial" w:eastAsia="Calibri" w:hAnsi="Arial" w:cs="Arial"/>
          <w:b/>
          <w:sz w:val="24"/>
          <w:szCs w:val="24"/>
        </w:rPr>
      </w:pPr>
      <w:proofErr w:type="spellStart"/>
      <w:r w:rsidRPr="006C2B8C">
        <w:rPr>
          <w:rFonts w:ascii="Arial" w:eastAsia="Calibri" w:hAnsi="Arial" w:cs="Arial"/>
          <w:sz w:val="22"/>
          <w:szCs w:val="22"/>
        </w:rPr>
        <w:t>Ljungqvist</w:t>
      </w:r>
      <w:proofErr w:type="spellEnd"/>
      <w:r w:rsidRPr="006C2B8C">
        <w:rPr>
          <w:rFonts w:ascii="Arial" w:eastAsia="Calibri" w:hAnsi="Arial" w:cs="Arial"/>
          <w:sz w:val="22"/>
          <w:szCs w:val="22"/>
        </w:rPr>
        <w:t xml:space="preserve"> wr</w:t>
      </w:r>
      <w:r>
        <w:rPr>
          <w:rFonts w:ascii="Arial" w:eastAsia="Calibri" w:hAnsi="Arial" w:cs="Arial"/>
          <w:sz w:val="22"/>
          <w:szCs w:val="22"/>
        </w:rPr>
        <w:t>o</w:t>
      </w:r>
      <w:r w:rsidRPr="006C2B8C">
        <w:rPr>
          <w:rFonts w:ascii="Arial" w:eastAsia="Calibri" w:hAnsi="Arial" w:cs="Arial"/>
          <w:sz w:val="22"/>
          <w:szCs w:val="22"/>
        </w:rPr>
        <w:t xml:space="preserve">te </w:t>
      </w:r>
      <w:r>
        <w:rPr>
          <w:rFonts w:ascii="Arial" w:eastAsia="Calibri" w:hAnsi="Arial" w:cs="Arial"/>
          <w:sz w:val="22"/>
          <w:szCs w:val="22"/>
        </w:rPr>
        <w:t>“</w:t>
      </w:r>
      <w:r w:rsidRPr="006C2B8C">
        <w:rPr>
          <w:rFonts w:ascii="Arial" w:eastAsia="Calibri" w:hAnsi="Arial" w:cs="Arial"/>
          <w:sz w:val="22"/>
          <w:szCs w:val="22"/>
        </w:rPr>
        <w:t>The dating uncertainty of sediment proxies are typically +/- 160 years.</w:t>
      </w:r>
      <w:r>
        <w:rPr>
          <w:rFonts w:ascii="Arial" w:eastAsia="Calibri" w:hAnsi="Arial" w:cs="Arial"/>
          <w:sz w:val="22"/>
          <w:szCs w:val="22"/>
        </w:rPr>
        <w:t xml:space="preserve"> </w:t>
      </w:r>
      <w:r w:rsidRPr="006C2B8C">
        <w:rPr>
          <w:rFonts w:ascii="Arial" w:eastAsia="Calibri" w:hAnsi="Arial" w:cs="Arial"/>
          <w:sz w:val="22"/>
          <w:szCs w:val="22"/>
        </w:rPr>
        <w:t xml:space="preserve">The dating uncertainty of proxy records very likely results in ‘flattening out’ the values from the same climate event over several hundred years ...  so they are unable to capture the true magnitude of the cold and warm periods in the reconstruction." </w:t>
      </w:r>
      <w:r w:rsidR="00157251">
        <w:rPr>
          <w:rFonts w:ascii="Arial" w:eastAsia="Calibri" w:hAnsi="Arial" w:cs="Arial"/>
          <w:sz w:val="22"/>
          <w:szCs w:val="22"/>
        </w:rPr>
        <w:t>Assuming the dating uncertainty</w:t>
      </w:r>
      <w:r w:rsidR="00F608D0">
        <w:rPr>
          <w:rFonts w:ascii="Arial" w:eastAsia="Calibri" w:hAnsi="Arial" w:cs="Arial"/>
          <w:sz w:val="22"/>
          <w:szCs w:val="22"/>
        </w:rPr>
        <w:t xml:space="preserve"> </w:t>
      </w:r>
      <w:r w:rsidR="00282C09">
        <w:rPr>
          <w:rFonts w:ascii="Arial" w:eastAsia="Calibri" w:hAnsi="Arial" w:cs="Arial"/>
          <w:sz w:val="22"/>
          <w:szCs w:val="22"/>
        </w:rPr>
        <w:t xml:space="preserve">of the 12 sediment proxies </w:t>
      </w:r>
      <w:r w:rsidR="00157251">
        <w:rPr>
          <w:rFonts w:ascii="Arial" w:eastAsia="Calibri" w:hAnsi="Arial" w:cs="Arial"/>
          <w:sz w:val="22"/>
          <w:szCs w:val="22"/>
        </w:rPr>
        <w:t>sp</w:t>
      </w:r>
      <w:r w:rsidR="008E2C4A">
        <w:rPr>
          <w:rFonts w:ascii="Arial" w:eastAsia="Calibri" w:hAnsi="Arial" w:cs="Arial"/>
          <w:sz w:val="22"/>
          <w:szCs w:val="22"/>
        </w:rPr>
        <w:t>r</w:t>
      </w:r>
      <w:r w:rsidR="00157251">
        <w:rPr>
          <w:rFonts w:ascii="Arial" w:eastAsia="Calibri" w:hAnsi="Arial" w:cs="Arial"/>
          <w:sz w:val="22"/>
          <w:szCs w:val="22"/>
        </w:rPr>
        <w:t>eads the resolution over 100 years it was estimated that these proxies underestimated the temperature variability by 12%.</w:t>
      </w:r>
      <w:r w:rsidR="00282C09" w:rsidRPr="00282C09">
        <w:rPr>
          <w:rFonts w:ascii="Arial" w:eastAsia="Calibri" w:hAnsi="Arial" w:cs="Arial"/>
          <w:sz w:val="22"/>
          <w:szCs w:val="22"/>
        </w:rPr>
        <w:t xml:space="preserve"> </w:t>
      </w:r>
      <w:r w:rsidR="00157251">
        <w:rPr>
          <w:rFonts w:ascii="Arial" w:eastAsia="Calibri" w:hAnsi="Arial" w:cs="Arial"/>
          <w:sz w:val="22"/>
          <w:szCs w:val="22"/>
        </w:rPr>
        <w:t>The weighted average bias of the 30 proxies was estimated at 11%</w:t>
      </w:r>
      <w:r w:rsidR="00D43898">
        <w:rPr>
          <w:rFonts w:ascii="Arial" w:eastAsia="Calibri" w:hAnsi="Arial" w:cs="Arial"/>
          <w:sz w:val="22"/>
          <w:szCs w:val="22"/>
        </w:rPr>
        <w:t>.</w:t>
      </w:r>
      <w:r w:rsidR="00EC70EF">
        <w:rPr>
          <w:rStyle w:val="FootnoteReference"/>
          <w:rFonts w:ascii="Arial" w:eastAsia="Calibri" w:hAnsi="Arial" w:cs="Arial"/>
          <w:sz w:val="22"/>
          <w:szCs w:val="22"/>
        </w:rPr>
        <w:footnoteReference w:id="15"/>
      </w:r>
    </w:p>
    <w:p w:rsidR="006D6DFD" w:rsidRDefault="00967B26" w:rsidP="00F92BB1">
      <w:pPr>
        <w:jc w:val="both"/>
        <w:rPr>
          <w:rFonts w:ascii="Arial" w:eastAsia="Calibri" w:hAnsi="Arial" w:cs="Arial"/>
          <w:sz w:val="22"/>
          <w:szCs w:val="22"/>
        </w:rPr>
      </w:pPr>
      <w:r>
        <w:rPr>
          <w:rFonts w:ascii="Arial" w:eastAsia="Calibri" w:hAnsi="Arial" w:cs="Arial"/>
          <w:sz w:val="22"/>
          <w:szCs w:val="22"/>
        </w:rPr>
        <w:lastRenderedPageBreak/>
        <w:t>The southern hemisphere and tropics temperature variability is less than the northern extra-tropics due to the larger ocean area</w:t>
      </w:r>
      <w:r w:rsidR="00157251">
        <w:rPr>
          <w:rFonts w:ascii="Arial" w:eastAsia="Calibri" w:hAnsi="Arial" w:cs="Arial"/>
          <w:sz w:val="22"/>
          <w:szCs w:val="22"/>
        </w:rPr>
        <w:t xml:space="preserve">. </w:t>
      </w:r>
      <w:r w:rsidR="00DB5778">
        <w:rPr>
          <w:rFonts w:ascii="Arial" w:eastAsia="Calibri" w:hAnsi="Arial" w:cs="Arial"/>
          <w:sz w:val="22"/>
          <w:szCs w:val="22"/>
        </w:rPr>
        <w:t>T</w:t>
      </w:r>
      <w:r w:rsidR="005017F8">
        <w:rPr>
          <w:rFonts w:ascii="Arial" w:eastAsia="Calibri" w:hAnsi="Arial" w:cs="Arial"/>
          <w:sz w:val="22"/>
          <w:szCs w:val="22"/>
        </w:rPr>
        <w:t>he ratio of the global temperature change to the ETNH temperature change</w:t>
      </w:r>
      <w:r w:rsidR="00DB5778">
        <w:rPr>
          <w:rFonts w:ascii="Arial" w:eastAsia="Calibri" w:hAnsi="Arial" w:cs="Arial"/>
          <w:sz w:val="22"/>
          <w:szCs w:val="22"/>
        </w:rPr>
        <w:t xml:space="preserve"> was calculated</w:t>
      </w:r>
      <w:r w:rsidR="005017F8">
        <w:rPr>
          <w:rFonts w:ascii="Arial" w:eastAsia="Calibri" w:hAnsi="Arial" w:cs="Arial"/>
          <w:sz w:val="22"/>
          <w:szCs w:val="22"/>
        </w:rPr>
        <w:t xml:space="preserve"> f</w:t>
      </w:r>
      <w:r w:rsidR="00DB5778">
        <w:rPr>
          <w:rFonts w:ascii="Arial" w:eastAsia="Calibri" w:hAnsi="Arial" w:cs="Arial"/>
          <w:sz w:val="22"/>
          <w:szCs w:val="22"/>
        </w:rPr>
        <w:t>or</w:t>
      </w:r>
      <w:r w:rsidR="005017F8">
        <w:rPr>
          <w:rFonts w:ascii="Arial" w:eastAsia="Calibri" w:hAnsi="Arial" w:cs="Arial"/>
          <w:sz w:val="22"/>
          <w:szCs w:val="22"/>
        </w:rPr>
        <w:t xml:space="preserve"> a </w:t>
      </w:r>
      <w:r>
        <w:rPr>
          <w:rFonts w:ascii="Arial" w:eastAsia="Calibri" w:hAnsi="Arial" w:cs="Arial"/>
          <w:sz w:val="22"/>
          <w:szCs w:val="22"/>
        </w:rPr>
        <w:t>col</w:t>
      </w:r>
      <w:r w:rsidR="005017F8">
        <w:rPr>
          <w:rFonts w:ascii="Arial" w:eastAsia="Calibri" w:hAnsi="Arial" w:cs="Arial"/>
          <w:sz w:val="22"/>
          <w:szCs w:val="22"/>
        </w:rPr>
        <w:t>d</w:t>
      </w:r>
      <w:r>
        <w:rPr>
          <w:rFonts w:ascii="Arial" w:eastAsia="Calibri" w:hAnsi="Arial" w:cs="Arial"/>
          <w:sz w:val="22"/>
          <w:szCs w:val="22"/>
        </w:rPr>
        <w:t xml:space="preserve"> and </w:t>
      </w:r>
      <w:r w:rsidR="005017F8">
        <w:rPr>
          <w:rFonts w:ascii="Arial" w:eastAsia="Calibri" w:hAnsi="Arial" w:cs="Arial"/>
          <w:sz w:val="22"/>
          <w:szCs w:val="22"/>
        </w:rPr>
        <w:t xml:space="preserve">a </w:t>
      </w:r>
      <w:r>
        <w:rPr>
          <w:rFonts w:ascii="Arial" w:eastAsia="Calibri" w:hAnsi="Arial" w:cs="Arial"/>
          <w:sz w:val="22"/>
          <w:szCs w:val="22"/>
        </w:rPr>
        <w:t>warm period</w:t>
      </w:r>
      <w:r w:rsidR="003A58DE">
        <w:rPr>
          <w:rFonts w:ascii="Arial" w:eastAsia="Calibri" w:hAnsi="Arial" w:cs="Arial"/>
          <w:sz w:val="22"/>
          <w:szCs w:val="22"/>
        </w:rPr>
        <w:t xml:space="preserve"> of the instrument </w:t>
      </w:r>
      <w:r w:rsidR="005017F8">
        <w:rPr>
          <w:rFonts w:ascii="Arial" w:eastAsia="Calibri" w:hAnsi="Arial" w:cs="Arial"/>
          <w:sz w:val="22"/>
          <w:szCs w:val="22"/>
        </w:rPr>
        <w:t xml:space="preserve">temperature </w:t>
      </w:r>
      <w:r w:rsidR="003A58DE">
        <w:rPr>
          <w:rFonts w:ascii="Arial" w:eastAsia="Calibri" w:hAnsi="Arial" w:cs="Arial"/>
          <w:sz w:val="22"/>
          <w:szCs w:val="22"/>
        </w:rPr>
        <w:t>record</w:t>
      </w:r>
      <w:r w:rsidR="005017F8">
        <w:rPr>
          <w:rFonts w:ascii="Arial" w:eastAsia="Calibri" w:hAnsi="Arial" w:cs="Arial"/>
          <w:sz w:val="22"/>
          <w:szCs w:val="22"/>
        </w:rPr>
        <w:t xml:space="preserve"> of HadCRUT4.6. From 1900-1919 to 2002-2015</w:t>
      </w:r>
      <w:r w:rsidR="008E2C4A">
        <w:rPr>
          <w:rFonts w:ascii="Arial" w:eastAsia="Calibri" w:hAnsi="Arial" w:cs="Arial"/>
          <w:sz w:val="22"/>
          <w:szCs w:val="22"/>
        </w:rPr>
        <w:t>,</w:t>
      </w:r>
      <w:r>
        <w:rPr>
          <w:rFonts w:ascii="Arial" w:eastAsia="Calibri" w:hAnsi="Arial" w:cs="Arial"/>
          <w:sz w:val="22"/>
          <w:szCs w:val="22"/>
        </w:rPr>
        <w:t xml:space="preserve"> </w:t>
      </w:r>
      <w:r w:rsidR="008E2C4A">
        <w:rPr>
          <w:rFonts w:ascii="Arial" w:eastAsia="Calibri" w:hAnsi="Arial" w:cs="Arial"/>
          <w:sz w:val="22"/>
          <w:szCs w:val="22"/>
        </w:rPr>
        <w:t>t</w:t>
      </w:r>
      <w:r>
        <w:rPr>
          <w:rFonts w:ascii="Arial" w:eastAsia="Calibri" w:hAnsi="Arial" w:cs="Arial"/>
          <w:sz w:val="22"/>
          <w:szCs w:val="22"/>
        </w:rPr>
        <w:t xml:space="preserve">he global temperatures </w:t>
      </w:r>
      <w:r w:rsidR="005017F8">
        <w:rPr>
          <w:rFonts w:ascii="Arial" w:eastAsia="Calibri" w:hAnsi="Arial" w:cs="Arial"/>
          <w:sz w:val="22"/>
          <w:szCs w:val="22"/>
        </w:rPr>
        <w:t>changed</w:t>
      </w:r>
      <w:r>
        <w:rPr>
          <w:rFonts w:ascii="Arial" w:eastAsia="Calibri" w:hAnsi="Arial" w:cs="Arial"/>
          <w:sz w:val="22"/>
          <w:szCs w:val="22"/>
        </w:rPr>
        <w:t xml:space="preserve"> by only </w:t>
      </w:r>
      <w:r w:rsidR="002632B4">
        <w:rPr>
          <w:rFonts w:ascii="Arial" w:eastAsia="Calibri" w:hAnsi="Arial" w:cs="Arial"/>
          <w:sz w:val="22"/>
          <w:szCs w:val="22"/>
        </w:rPr>
        <w:t>75</w:t>
      </w:r>
      <w:r>
        <w:rPr>
          <w:rFonts w:ascii="Arial" w:eastAsia="Calibri" w:hAnsi="Arial" w:cs="Arial"/>
          <w:sz w:val="22"/>
          <w:szCs w:val="22"/>
        </w:rPr>
        <w:t>% of the ETNH</w:t>
      </w:r>
      <w:r w:rsidR="005017F8">
        <w:rPr>
          <w:rFonts w:ascii="Arial" w:eastAsia="Calibri" w:hAnsi="Arial" w:cs="Arial"/>
          <w:sz w:val="22"/>
          <w:szCs w:val="22"/>
        </w:rPr>
        <w:t xml:space="preserve"> temperatures</w:t>
      </w:r>
      <w:r>
        <w:rPr>
          <w:rFonts w:ascii="Arial" w:eastAsia="Calibri" w:hAnsi="Arial" w:cs="Arial"/>
          <w:sz w:val="22"/>
          <w:szCs w:val="22"/>
        </w:rPr>
        <w:t xml:space="preserve">. </w:t>
      </w:r>
    </w:p>
    <w:p w:rsidR="00DB5778" w:rsidRDefault="006D6DFD" w:rsidP="00F92BB1">
      <w:pPr>
        <w:jc w:val="both"/>
        <w:rPr>
          <w:rFonts w:ascii="Arial" w:eastAsia="Calibri" w:hAnsi="Arial" w:cs="Arial"/>
          <w:sz w:val="22"/>
          <w:szCs w:val="22"/>
        </w:rPr>
      </w:pPr>
      <w:r>
        <w:rPr>
          <w:rFonts w:ascii="Arial" w:eastAsia="Calibri" w:hAnsi="Arial" w:cs="Arial"/>
          <w:sz w:val="22"/>
          <w:szCs w:val="22"/>
        </w:rPr>
        <w:t xml:space="preserve">Table </w:t>
      </w:r>
      <w:r w:rsidR="004A6E50">
        <w:rPr>
          <w:rFonts w:ascii="Arial" w:eastAsia="Calibri" w:hAnsi="Arial" w:cs="Arial"/>
          <w:sz w:val="22"/>
          <w:szCs w:val="22"/>
        </w:rPr>
        <w:t>1</w:t>
      </w:r>
      <w:r>
        <w:rPr>
          <w:rFonts w:ascii="Arial" w:eastAsia="Calibri" w:hAnsi="Arial" w:cs="Arial"/>
          <w:sz w:val="22"/>
          <w:szCs w:val="22"/>
        </w:rPr>
        <w:t xml:space="preserve"> summarized the calculation</w:t>
      </w:r>
      <w:r w:rsidR="00BA34F8">
        <w:rPr>
          <w:rFonts w:ascii="Arial" w:eastAsia="Calibri" w:hAnsi="Arial" w:cs="Arial"/>
          <w:sz w:val="22"/>
          <w:szCs w:val="22"/>
        </w:rPr>
        <w:t>s</w:t>
      </w:r>
      <w:r>
        <w:rPr>
          <w:rFonts w:ascii="Arial" w:eastAsia="Calibri" w:hAnsi="Arial" w:cs="Arial"/>
          <w:sz w:val="22"/>
          <w:szCs w:val="22"/>
        </w:rPr>
        <w:t xml:space="preserve"> to determine the natural temperature change representing the recovery from the Little Ice Age</w:t>
      </w:r>
      <w:r w:rsidR="00BA34F8">
        <w:rPr>
          <w:rFonts w:ascii="Arial" w:eastAsia="Calibri" w:hAnsi="Arial" w:cs="Arial"/>
          <w:sz w:val="22"/>
          <w:szCs w:val="22"/>
        </w:rPr>
        <w:t xml:space="preserve"> between the base and final periods of the LC2018 analysis</w:t>
      </w:r>
      <w:r>
        <w:rPr>
          <w:rFonts w:ascii="Arial" w:eastAsia="Calibri" w:hAnsi="Arial" w:cs="Arial"/>
          <w:sz w:val="22"/>
          <w:szCs w:val="22"/>
        </w:rPr>
        <w:t>.</w:t>
      </w:r>
    </w:p>
    <w:tbl>
      <w:tblPr>
        <w:tblStyle w:val="TableGrid"/>
        <w:tblW w:w="0" w:type="auto"/>
        <w:tblInd w:w="468" w:type="dxa"/>
        <w:tblLook w:val="04A0" w:firstRow="1" w:lastRow="0" w:firstColumn="1" w:lastColumn="0" w:noHBand="0" w:noVBand="1"/>
      </w:tblPr>
      <w:tblGrid>
        <w:gridCol w:w="3060"/>
        <w:gridCol w:w="2856"/>
      </w:tblGrid>
      <w:tr w:rsidR="00BA34F8" w:rsidTr="00912B05">
        <w:trPr>
          <w:trHeight w:val="395"/>
        </w:trPr>
        <w:tc>
          <w:tcPr>
            <w:tcW w:w="5916" w:type="dxa"/>
            <w:gridSpan w:val="2"/>
          </w:tcPr>
          <w:p w:rsidR="00BA34F8" w:rsidRPr="00B47730" w:rsidRDefault="00BA34F8" w:rsidP="004A6E50">
            <w:pPr>
              <w:jc w:val="center"/>
              <w:rPr>
                <w:rFonts w:ascii="Arial" w:eastAsia="Calibri" w:hAnsi="Arial" w:cs="Arial"/>
                <w:b/>
                <w:sz w:val="22"/>
                <w:szCs w:val="22"/>
              </w:rPr>
            </w:pPr>
            <w:r w:rsidRPr="00B47730">
              <w:rPr>
                <w:rFonts w:ascii="Arial" w:eastAsia="Calibri" w:hAnsi="Arial" w:cs="Arial"/>
                <w:b/>
                <w:sz w:val="22"/>
                <w:szCs w:val="22"/>
              </w:rPr>
              <w:t xml:space="preserve">Table </w:t>
            </w:r>
            <w:r w:rsidR="004A6E50">
              <w:rPr>
                <w:rFonts w:ascii="Arial" w:eastAsia="Calibri" w:hAnsi="Arial" w:cs="Arial"/>
                <w:b/>
                <w:sz w:val="22"/>
                <w:szCs w:val="22"/>
              </w:rPr>
              <w:t>1</w:t>
            </w:r>
            <w:r w:rsidRPr="00B47730">
              <w:rPr>
                <w:rFonts w:ascii="Arial" w:eastAsia="Calibri" w:hAnsi="Arial" w:cs="Arial"/>
                <w:b/>
                <w:sz w:val="22"/>
                <w:szCs w:val="22"/>
              </w:rPr>
              <w:t xml:space="preserve">. </w:t>
            </w:r>
            <w:r w:rsidR="00320928" w:rsidRPr="00B47730">
              <w:rPr>
                <w:rFonts w:ascii="Arial" w:eastAsia="Calibri" w:hAnsi="Arial" w:cs="Arial"/>
                <w:b/>
                <w:sz w:val="22"/>
                <w:szCs w:val="22"/>
              </w:rPr>
              <w:t xml:space="preserve"> Natural Climate Change</w:t>
            </w:r>
          </w:p>
        </w:tc>
      </w:tr>
      <w:tr w:rsidR="00BA34F8" w:rsidTr="0043435C">
        <w:trPr>
          <w:trHeight w:val="317"/>
        </w:trPr>
        <w:tc>
          <w:tcPr>
            <w:tcW w:w="3060" w:type="dxa"/>
            <w:vAlign w:val="center"/>
          </w:tcPr>
          <w:p w:rsidR="00BA34F8" w:rsidRDefault="00BA34F8" w:rsidP="0043435C">
            <w:pPr>
              <w:rPr>
                <w:rFonts w:ascii="Arial" w:eastAsia="Calibri" w:hAnsi="Arial" w:cs="Arial"/>
                <w:sz w:val="22"/>
                <w:szCs w:val="22"/>
              </w:rPr>
            </w:pPr>
            <w:r>
              <w:rPr>
                <w:rFonts w:ascii="Arial" w:eastAsia="Calibri" w:hAnsi="Arial" w:cs="Arial"/>
                <w:sz w:val="22"/>
                <w:szCs w:val="22"/>
              </w:rPr>
              <w:t xml:space="preserve">ETNH </w:t>
            </w:r>
            <w:r w:rsidR="00320928">
              <w:rPr>
                <w:rFonts w:ascii="Arial" w:eastAsia="Calibri" w:hAnsi="Arial" w:cs="Arial"/>
                <w:sz w:val="22"/>
                <w:szCs w:val="22"/>
              </w:rPr>
              <w:t>from proxy data</w:t>
            </w:r>
          </w:p>
        </w:tc>
        <w:tc>
          <w:tcPr>
            <w:tcW w:w="2856" w:type="dxa"/>
            <w:vAlign w:val="center"/>
          </w:tcPr>
          <w:p w:rsidR="00BA34F8" w:rsidRDefault="00BA34F8" w:rsidP="0043435C">
            <w:pPr>
              <w:jc w:val="center"/>
              <w:rPr>
                <w:rFonts w:ascii="Arial" w:eastAsia="Calibri" w:hAnsi="Arial" w:cs="Arial"/>
                <w:sz w:val="22"/>
                <w:szCs w:val="22"/>
              </w:rPr>
            </w:pPr>
            <w:r>
              <w:rPr>
                <w:rFonts w:ascii="Arial" w:eastAsia="Calibri" w:hAnsi="Arial" w:cs="Arial"/>
                <w:sz w:val="22"/>
                <w:szCs w:val="22"/>
              </w:rPr>
              <w:t>0.101 C</w:t>
            </w:r>
            <w:r>
              <w:rPr>
                <w:rFonts w:ascii="Calibri" w:eastAsia="Calibri" w:hAnsi="Calibri" w:cs="Calibri"/>
                <w:sz w:val="22"/>
                <w:szCs w:val="22"/>
              </w:rPr>
              <w:t>°</w:t>
            </w:r>
            <w:r>
              <w:rPr>
                <w:rFonts w:ascii="Arial" w:eastAsia="Calibri" w:hAnsi="Arial" w:cs="Arial"/>
                <w:sz w:val="22"/>
                <w:szCs w:val="22"/>
              </w:rPr>
              <w:t>/century</w:t>
            </w:r>
          </w:p>
        </w:tc>
      </w:tr>
      <w:tr w:rsidR="00BA34F8" w:rsidTr="0043435C">
        <w:trPr>
          <w:trHeight w:val="317"/>
        </w:trPr>
        <w:tc>
          <w:tcPr>
            <w:tcW w:w="3060" w:type="dxa"/>
            <w:vAlign w:val="center"/>
          </w:tcPr>
          <w:p w:rsidR="00BA34F8" w:rsidRDefault="00BA34F8" w:rsidP="0043435C">
            <w:pPr>
              <w:rPr>
                <w:rFonts w:ascii="Arial" w:eastAsia="Calibri" w:hAnsi="Arial" w:cs="Arial"/>
                <w:sz w:val="22"/>
                <w:szCs w:val="22"/>
              </w:rPr>
            </w:pPr>
            <w:r>
              <w:rPr>
                <w:rFonts w:ascii="Arial" w:eastAsia="Calibri" w:hAnsi="Arial" w:cs="Arial"/>
                <w:sz w:val="22"/>
                <w:szCs w:val="22"/>
              </w:rPr>
              <w:t>Global adjustment factor</w:t>
            </w:r>
          </w:p>
        </w:tc>
        <w:tc>
          <w:tcPr>
            <w:tcW w:w="2856" w:type="dxa"/>
            <w:vAlign w:val="center"/>
          </w:tcPr>
          <w:p w:rsidR="00BA34F8" w:rsidRDefault="00BA34F8" w:rsidP="0043435C">
            <w:pPr>
              <w:jc w:val="center"/>
              <w:rPr>
                <w:rFonts w:ascii="Arial" w:eastAsia="Calibri" w:hAnsi="Arial" w:cs="Arial"/>
                <w:sz w:val="22"/>
                <w:szCs w:val="22"/>
              </w:rPr>
            </w:pPr>
            <w:r>
              <w:rPr>
                <w:rFonts w:ascii="Arial" w:eastAsia="Calibri" w:hAnsi="Arial" w:cs="Arial"/>
                <w:sz w:val="22"/>
                <w:szCs w:val="22"/>
              </w:rPr>
              <w:t>75%</w:t>
            </w:r>
          </w:p>
        </w:tc>
      </w:tr>
      <w:tr w:rsidR="00BA34F8" w:rsidTr="0043435C">
        <w:trPr>
          <w:trHeight w:val="317"/>
        </w:trPr>
        <w:tc>
          <w:tcPr>
            <w:tcW w:w="3060" w:type="dxa"/>
            <w:vAlign w:val="center"/>
          </w:tcPr>
          <w:p w:rsidR="00BA34F8" w:rsidRDefault="00BA34F8" w:rsidP="0043435C">
            <w:pPr>
              <w:rPr>
                <w:rFonts w:ascii="Arial" w:eastAsia="Calibri" w:hAnsi="Arial" w:cs="Arial"/>
                <w:sz w:val="22"/>
                <w:szCs w:val="22"/>
              </w:rPr>
            </w:pPr>
            <w:r>
              <w:rPr>
                <w:rFonts w:ascii="Arial" w:eastAsia="Calibri" w:hAnsi="Arial" w:cs="Arial"/>
                <w:sz w:val="22"/>
                <w:szCs w:val="22"/>
              </w:rPr>
              <w:t>Proxy adjustment factor</w:t>
            </w:r>
          </w:p>
        </w:tc>
        <w:tc>
          <w:tcPr>
            <w:tcW w:w="2856" w:type="dxa"/>
            <w:vAlign w:val="center"/>
          </w:tcPr>
          <w:p w:rsidR="00BA34F8" w:rsidRDefault="00BA34F8" w:rsidP="0043435C">
            <w:pPr>
              <w:jc w:val="center"/>
              <w:rPr>
                <w:rFonts w:ascii="Arial" w:eastAsia="Calibri" w:hAnsi="Arial" w:cs="Arial"/>
                <w:sz w:val="22"/>
                <w:szCs w:val="22"/>
              </w:rPr>
            </w:pPr>
            <w:r>
              <w:rPr>
                <w:rFonts w:ascii="Arial" w:eastAsia="Calibri" w:hAnsi="Arial" w:cs="Arial"/>
                <w:sz w:val="22"/>
                <w:szCs w:val="22"/>
              </w:rPr>
              <w:t>111%</w:t>
            </w:r>
          </w:p>
        </w:tc>
      </w:tr>
      <w:tr w:rsidR="00BA34F8" w:rsidTr="0043435C">
        <w:trPr>
          <w:trHeight w:val="317"/>
        </w:trPr>
        <w:tc>
          <w:tcPr>
            <w:tcW w:w="3060" w:type="dxa"/>
            <w:vAlign w:val="center"/>
          </w:tcPr>
          <w:p w:rsidR="00BA34F8" w:rsidRDefault="00BA34F8" w:rsidP="0043435C">
            <w:pPr>
              <w:rPr>
                <w:rFonts w:ascii="Arial" w:eastAsia="Calibri" w:hAnsi="Arial" w:cs="Arial"/>
                <w:sz w:val="22"/>
                <w:szCs w:val="22"/>
              </w:rPr>
            </w:pPr>
            <w:r>
              <w:rPr>
                <w:rFonts w:ascii="Arial" w:eastAsia="Calibri" w:hAnsi="Arial" w:cs="Arial"/>
                <w:sz w:val="22"/>
                <w:szCs w:val="22"/>
              </w:rPr>
              <w:t>Natural temperature change</w:t>
            </w:r>
          </w:p>
        </w:tc>
        <w:tc>
          <w:tcPr>
            <w:tcW w:w="2856" w:type="dxa"/>
            <w:vAlign w:val="center"/>
          </w:tcPr>
          <w:p w:rsidR="00BA34F8" w:rsidRDefault="00BA34F8" w:rsidP="0043435C">
            <w:pPr>
              <w:jc w:val="center"/>
              <w:rPr>
                <w:rFonts w:ascii="Arial" w:eastAsia="Calibri" w:hAnsi="Arial" w:cs="Arial"/>
                <w:sz w:val="22"/>
                <w:szCs w:val="22"/>
              </w:rPr>
            </w:pPr>
            <w:r>
              <w:rPr>
                <w:rFonts w:ascii="Arial" w:eastAsia="Calibri" w:hAnsi="Arial" w:cs="Arial"/>
                <w:sz w:val="22"/>
                <w:szCs w:val="22"/>
              </w:rPr>
              <w:t>0.084</w:t>
            </w:r>
            <w:r>
              <w:t xml:space="preserve"> </w:t>
            </w:r>
            <w:r w:rsidRPr="00BA34F8">
              <w:rPr>
                <w:rFonts w:ascii="Arial" w:eastAsia="Calibri" w:hAnsi="Arial" w:cs="Arial"/>
                <w:sz w:val="22"/>
                <w:szCs w:val="22"/>
              </w:rPr>
              <w:t>C°/century</w:t>
            </w:r>
          </w:p>
        </w:tc>
      </w:tr>
    </w:tbl>
    <w:p w:rsidR="00BA34F8" w:rsidRDefault="00BA34F8" w:rsidP="00F92BB1">
      <w:pPr>
        <w:jc w:val="both"/>
        <w:rPr>
          <w:rFonts w:ascii="Arial" w:eastAsia="Calibri" w:hAnsi="Arial" w:cs="Arial"/>
          <w:sz w:val="22"/>
          <w:szCs w:val="22"/>
        </w:rPr>
      </w:pPr>
    </w:p>
    <w:p w:rsidR="00D97517" w:rsidRDefault="00CD15BF" w:rsidP="00F92BB1">
      <w:pPr>
        <w:jc w:val="both"/>
        <w:rPr>
          <w:rFonts w:ascii="Arial" w:eastAsia="Calibri" w:hAnsi="Arial" w:cs="Arial"/>
          <w:sz w:val="22"/>
          <w:szCs w:val="22"/>
        </w:rPr>
      </w:pPr>
      <w:r>
        <w:rPr>
          <w:rFonts w:ascii="Arial" w:eastAsia="Calibri" w:hAnsi="Arial" w:cs="Arial"/>
          <w:sz w:val="22"/>
          <w:szCs w:val="22"/>
        </w:rPr>
        <w:t xml:space="preserve">The global natural recovery from the LIA is estimated at </w:t>
      </w:r>
      <w:r w:rsidR="00645C17">
        <w:rPr>
          <w:rFonts w:ascii="Arial" w:eastAsia="Calibri" w:hAnsi="Arial" w:cs="Arial"/>
          <w:sz w:val="22"/>
          <w:szCs w:val="22"/>
        </w:rPr>
        <w:t xml:space="preserve">0.084 </w:t>
      </w:r>
      <w:r w:rsidR="00645C17" w:rsidRPr="000E1259">
        <w:rPr>
          <w:rFonts w:ascii="Arial" w:eastAsia="Calibri" w:hAnsi="Arial" w:cs="Arial"/>
          <w:sz w:val="22"/>
          <w:szCs w:val="22"/>
        </w:rPr>
        <w:t>°C</w:t>
      </w:r>
      <w:r w:rsidR="00645C17">
        <w:rPr>
          <w:rFonts w:ascii="Arial" w:eastAsia="Calibri" w:hAnsi="Arial" w:cs="Arial"/>
          <w:sz w:val="22"/>
          <w:szCs w:val="22"/>
        </w:rPr>
        <w:t>/century</w:t>
      </w:r>
      <w:r w:rsidR="00320928">
        <w:rPr>
          <w:rFonts w:ascii="Arial" w:eastAsia="Calibri" w:hAnsi="Arial" w:cs="Arial"/>
          <w:sz w:val="22"/>
          <w:szCs w:val="22"/>
        </w:rPr>
        <w:t>. The period between the cente</w:t>
      </w:r>
      <w:r w:rsidR="002A60F1">
        <w:rPr>
          <w:rFonts w:ascii="Arial" w:eastAsia="Calibri" w:hAnsi="Arial" w:cs="Arial"/>
          <w:sz w:val="22"/>
          <w:szCs w:val="22"/>
        </w:rPr>
        <w:t>r</w:t>
      </w:r>
      <w:r w:rsidR="00320928">
        <w:rPr>
          <w:rFonts w:ascii="Arial" w:eastAsia="Calibri" w:hAnsi="Arial" w:cs="Arial"/>
          <w:sz w:val="22"/>
          <w:szCs w:val="22"/>
        </w:rPr>
        <w:t>s of the base and final period is 136 years. Therefore, the temperature changes used in the climate sensitivity calculations must b</w:t>
      </w:r>
      <w:r w:rsidR="006C3930">
        <w:rPr>
          <w:rFonts w:ascii="Arial" w:eastAsia="Calibri" w:hAnsi="Arial" w:cs="Arial"/>
          <w:sz w:val="22"/>
          <w:szCs w:val="22"/>
        </w:rPr>
        <w:t>e</w:t>
      </w:r>
      <w:r w:rsidR="00320928">
        <w:rPr>
          <w:rFonts w:ascii="Arial" w:eastAsia="Calibri" w:hAnsi="Arial" w:cs="Arial"/>
          <w:sz w:val="22"/>
          <w:szCs w:val="22"/>
        </w:rPr>
        <w:t xml:space="preserve"> reduce by 0.114 </w:t>
      </w:r>
      <w:r w:rsidR="00320928" w:rsidRPr="00320928">
        <w:rPr>
          <w:rFonts w:ascii="Arial" w:eastAsia="Calibri" w:hAnsi="Arial" w:cs="Arial"/>
          <w:sz w:val="22"/>
          <w:szCs w:val="22"/>
        </w:rPr>
        <w:t>°C</w:t>
      </w:r>
      <w:r>
        <w:rPr>
          <w:rFonts w:ascii="Arial" w:eastAsia="Calibri" w:hAnsi="Arial" w:cs="Arial"/>
          <w:sz w:val="22"/>
          <w:szCs w:val="22"/>
        </w:rPr>
        <w:t xml:space="preserve"> </w:t>
      </w:r>
      <w:r w:rsidR="00320928">
        <w:rPr>
          <w:rFonts w:ascii="Arial" w:eastAsia="Calibri" w:hAnsi="Arial" w:cs="Arial"/>
          <w:sz w:val="22"/>
          <w:szCs w:val="22"/>
        </w:rPr>
        <w:t xml:space="preserve">from 0.797 </w:t>
      </w:r>
      <w:r w:rsidR="00320928" w:rsidRPr="00320928">
        <w:rPr>
          <w:rFonts w:ascii="Arial" w:eastAsia="Calibri" w:hAnsi="Arial" w:cs="Arial"/>
          <w:sz w:val="22"/>
          <w:szCs w:val="22"/>
        </w:rPr>
        <w:t>°C</w:t>
      </w:r>
      <w:r w:rsidR="00320928">
        <w:rPr>
          <w:rFonts w:ascii="Arial" w:eastAsia="Calibri" w:hAnsi="Arial" w:cs="Arial"/>
          <w:sz w:val="22"/>
          <w:szCs w:val="22"/>
        </w:rPr>
        <w:t xml:space="preserve"> to 0.683 </w:t>
      </w:r>
      <w:r w:rsidR="00320928" w:rsidRPr="00320928">
        <w:rPr>
          <w:rFonts w:ascii="Arial" w:eastAsia="Calibri" w:hAnsi="Arial" w:cs="Arial"/>
          <w:sz w:val="22"/>
          <w:szCs w:val="22"/>
        </w:rPr>
        <w:t>°C</w:t>
      </w:r>
      <w:r w:rsidR="00320928">
        <w:rPr>
          <w:rFonts w:ascii="Arial" w:eastAsia="Calibri" w:hAnsi="Arial" w:cs="Arial"/>
          <w:sz w:val="22"/>
          <w:szCs w:val="22"/>
        </w:rPr>
        <w:t xml:space="preserve"> to account for natural climate change.</w:t>
      </w:r>
    </w:p>
    <w:p w:rsidR="00B456BA" w:rsidRDefault="00B456BA" w:rsidP="00F92BB1">
      <w:pPr>
        <w:jc w:val="both"/>
        <w:rPr>
          <w:rFonts w:ascii="Arial" w:eastAsia="Calibri" w:hAnsi="Arial" w:cs="Arial"/>
          <w:sz w:val="22"/>
          <w:szCs w:val="22"/>
        </w:rPr>
      </w:pPr>
    </w:p>
    <w:p w:rsidR="00E0226E" w:rsidRPr="00E0226E" w:rsidRDefault="00E0226E" w:rsidP="00F92BB1">
      <w:pPr>
        <w:jc w:val="both"/>
        <w:rPr>
          <w:rFonts w:ascii="Arial" w:eastAsia="Calibri" w:hAnsi="Arial" w:cs="Arial"/>
          <w:b/>
          <w:sz w:val="28"/>
          <w:szCs w:val="28"/>
        </w:rPr>
      </w:pPr>
      <w:r w:rsidRPr="00E0226E">
        <w:rPr>
          <w:rFonts w:ascii="Arial" w:eastAsia="Calibri" w:hAnsi="Arial" w:cs="Arial"/>
          <w:b/>
          <w:sz w:val="28"/>
          <w:szCs w:val="28"/>
        </w:rPr>
        <w:t xml:space="preserve">Urban Heat Island </w:t>
      </w:r>
      <w:r w:rsidR="005921CE">
        <w:rPr>
          <w:rFonts w:ascii="Arial" w:eastAsia="Calibri" w:hAnsi="Arial" w:cs="Arial"/>
          <w:b/>
          <w:sz w:val="28"/>
          <w:szCs w:val="28"/>
        </w:rPr>
        <w:t>Effect</w:t>
      </w:r>
    </w:p>
    <w:p w:rsidR="00974A0D" w:rsidRDefault="00C51034" w:rsidP="00937D61">
      <w:pPr>
        <w:autoSpaceDE w:val="0"/>
        <w:autoSpaceDN w:val="0"/>
        <w:adjustRightInd w:val="0"/>
        <w:jc w:val="both"/>
        <w:rPr>
          <w:rFonts w:ascii="Arial" w:eastAsia="Calibri" w:hAnsi="Arial" w:cs="Arial"/>
          <w:sz w:val="22"/>
          <w:szCs w:val="22"/>
        </w:rPr>
      </w:pPr>
      <w:r w:rsidRPr="00D210A7">
        <w:rPr>
          <w:rFonts w:ascii="Arial" w:eastAsia="Calibri" w:hAnsi="Arial" w:cs="Arial"/>
          <w:sz w:val="22"/>
          <w:szCs w:val="22"/>
        </w:rPr>
        <w:t xml:space="preserve">Numerous papers have shown that the UHIE contaminates the instrument temperature record. </w:t>
      </w:r>
      <w:r w:rsidR="006E102C">
        <w:rPr>
          <w:rFonts w:ascii="Arial" w:eastAsia="Calibri" w:hAnsi="Arial" w:cs="Arial"/>
          <w:sz w:val="22"/>
          <w:szCs w:val="22"/>
        </w:rPr>
        <w:t xml:space="preserve">The surface-measured data has many problems. Most long-term temperature records are recorded in or near cities which have gotten warmer as they grow. </w:t>
      </w:r>
      <w:r w:rsidR="0051547D">
        <w:rPr>
          <w:rFonts w:ascii="Arial" w:eastAsia="Calibri" w:hAnsi="Arial" w:cs="Arial"/>
          <w:sz w:val="22"/>
          <w:szCs w:val="22"/>
        </w:rPr>
        <w:t>Trees and shrubs are replaced by buildings, road, parking lots and airports</w:t>
      </w:r>
      <w:r w:rsidR="00974A0D">
        <w:rPr>
          <w:rFonts w:ascii="Arial" w:eastAsia="Calibri" w:hAnsi="Arial" w:cs="Arial"/>
          <w:sz w:val="22"/>
          <w:szCs w:val="22"/>
        </w:rPr>
        <w:t xml:space="preserve">. </w:t>
      </w:r>
      <w:r w:rsidR="006E102C">
        <w:rPr>
          <w:rFonts w:ascii="Arial" w:eastAsia="Calibri" w:hAnsi="Arial" w:cs="Arial"/>
          <w:sz w:val="22"/>
          <w:szCs w:val="22"/>
        </w:rPr>
        <w:t>Poor count</w:t>
      </w:r>
      <w:r w:rsidR="00EF75A2">
        <w:rPr>
          <w:rFonts w:ascii="Arial" w:eastAsia="Calibri" w:hAnsi="Arial" w:cs="Arial"/>
          <w:sz w:val="22"/>
          <w:szCs w:val="22"/>
        </w:rPr>
        <w:t>r</w:t>
      </w:r>
      <w:r w:rsidR="006E102C">
        <w:rPr>
          <w:rFonts w:ascii="Arial" w:eastAsia="Calibri" w:hAnsi="Arial" w:cs="Arial"/>
          <w:sz w:val="22"/>
          <w:szCs w:val="22"/>
        </w:rPr>
        <w:t>ies ha</w:t>
      </w:r>
      <w:r w:rsidR="0051547D">
        <w:rPr>
          <w:rFonts w:ascii="Arial" w:eastAsia="Calibri" w:hAnsi="Arial" w:cs="Arial"/>
          <w:sz w:val="22"/>
          <w:szCs w:val="22"/>
        </w:rPr>
        <w:t>ve</w:t>
      </w:r>
      <w:r w:rsidR="006E102C">
        <w:rPr>
          <w:rFonts w:ascii="Arial" w:eastAsia="Calibri" w:hAnsi="Arial" w:cs="Arial"/>
          <w:sz w:val="22"/>
          <w:szCs w:val="22"/>
        </w:rPr>
        <w:t xml:space="preserve"> few monitoring stations and limited resources to provide maintenance and quality control.</w:t>
      </w:r>
      <w:r w:rsidR="0051547D">
        <w:rPr>
          <w:rFonts w:ascii="Arial" w:eastAsia="Calibri" w:hAnsi="Arial" w:cs="Arial"/>
          <w:sz w:val="22"/>
          <w:szCs w:val="22"/>
        </w:rPr>
        <w:t xml:space="preserve"> The number of operating stations dropped from 6000 in the 1970s to 2600 by 1997. </w:t>
      </w:r>
      <w:r w:rsidR="00974A0D">
        <w:rPr>
          <w:rFonts w:ascii="Arial" w:eastAsia="Calibri" w:hAnsi="Arial" w:cs="Arial"/>
          <w:sz w:val="22"/>
          <w:szCs w:val="22"/>
        </w:rPr>
        <w:t>Some datasets have urban adjustments whose purpose is to remove the warming effects of urbanization.</w:t>
      </w:r>
      <w:r w:rsidR="0051547D">
        <w:rPr>
          <w:rFonts w:ascii="Arial" w:eastAsia="Calibri" w:hAnsi="Arial" w:cs="Arial"/>
          <w:sz w:val="22"/>
          <w:szCs w:val="22"/>
        </w:rPr>
        <w:t xml:space="preserve"> </w:t>
      </w:r>
    </w:p>
    <w:p w:rsidR="00974A0D" w:rsidRDefault="00974A0D" w:rsidP="00937D61">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A study by Steve McIntyre shows </w:t>
      </w:r>
      <w:r w:rsidR="00596725">
        <w:rPr>
          <w:rFonts w:ascii="Arial" w:eastAsia="Calibri" w:hAnsi="Arial" w:cs="Arial"/>
          <w:sz w:val="22"/>
          <w:szCs w:val="22"/>
        </w:rPr>
        <w:t xml:space="preserve">that </w:t>
      </w:r>
      <w:r>
        <w:rPr>
          <w:rFonts w:ascii="Arial" w:eastAsia="Calibri" w:hAnsi="Arial" w:cs="Arial"/>
          <w:sz w:val="22"/>
          <w:szCs w:val="22"/>
        </w:rPr>
        <w:t xml:space="preserve">in the GISS temperature dataset, </w:t>
      </w:r>
      <w:r w:rsidR="00596725">
        <w:rPr>
          <w:rFonts w:ascii="Arial" w:eastAsia="Calibri" w:hAnsi="Arial" w:cs="Arial"/>
          <w:sz w:val="22"/>
          <w:szCs w:val="22"/>
        </w:rPr>
        <w:t xml:space="preserve">45% of the UHI adjustments increase the warming trends. These wrong-way adjustments increase the </w:t>
      </w:r>
      <w:r w:rsidR="00596725" w:rsidRPr="00596725">
        <w:rPr>
          <w:rFonts w:ascii="Arial" w:eastAsia="Calibri" w:hAnsi="Arial" w:cs="Arial"/>
          <w:sz w:val="22"/>
          <w:szCs w:val="22"/>
        </w:rPr>
        <w:t>urbanization effects</w:t>
      </w:r>
      <w:r w:rsidR="00596725">
        <w:rPr>
          <w:rFonts w:ascii="Arial" w:eastAsia="Calibri" w:hAnsi="Arial" w:cs="Arial"/>
          <w:sz w:val="22"/>
          <w:szCs w:val="22"/>
        </w:rPr>
        <w:t xml:space="preserve"> rather than remove the effects.</w:t>
      </w:r>
      <w:r w:rsidR="00596725">
        <w:rPr>
          <w:rStyle w:val="FootnoteReference"/>
          <w:rFonts w:ascii="Arial" w:eastAsia="Calibri" w:hAnsi="Arial" w:cs="Arial"/>
          <w:sz w:val="22"/>
          <w:szCs w:val="22"/>
        </w:rPr>
        <w:footnoteReference w:id="16"/>
      </w:r>
    </w:p>
    <w:p w:rsidR="00C51034" w:rsidRDefault="006E102C" w:rsidP="00937D61">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 </w:t>
      </w:r>
      <w:r w:rsidR="00C51034" w:rsidRPr="00D210A7">
        <w:rPr>
          <w:rFonts w:ascii="Arial" w:eastAsia="Calibri" w:hAnsi="Arial" w:cs="Arial"/>
          <w:sz w:val="22"/>
          <w:szCs w:val="22"/>
        </w:rPr>
        <w:t xml:space="preserve">A study by </w:t>
      </w:r>
      <w:proofErr w:type="spellStart"/>
      <w:r w:rsidR="00C51034" w:rsidRPr="00D210A7">
        <w:rPr>
          <w:rFonts w:ascii="Arial" w:eastAsia="Calibri" w:hAnsi="Arial" w:cs="Arial"/>
          <w:sz w:val="22"/>
          <w:szCs w:val="22"/>
        </w:rPr>
        <w:t>McKitrick</w:t>
      </w:r>
      <w:proofErr w:type="spellEnd"/>
      <w:r w:rsidR="00C51034" w:rsidRPr="00D210A7">
        <w:rPr>
          <w:rFonts w:ascii="Arial" w:eastAsia="Calibri" w:hAnsi="Arial" w:cs="Arial"/>
          <w:sz w:val="22"/>
          <w:szCs w:val="22"/>
        </w:rPr>
        <w:t xml:space="preserve"> and Michaels 2007 </w:t>
      </w:r>
      <w:r w:rsidR="009A1037">
        <w:rPr>
          <w:rFonts w:ascii="Arial" w:eastAsia="Calibri" w:hAnsi="Arial" w:cs="Arial"/>
          <w:sz w:val="22"/>
          <w:szCs w:val="22"/>
        </w:rPr>
        <w:t>(MM2007)</w:t>
      </w:r>
      <w:r w:rsidR="00432C75">
        <w:rPr>
          <w:rFonts w:ascii="Arial" w:eastAsia="Calibri" w:hAnsi="Arial" w:cs="Arial"/>
          <w:sz w:val="22"/>
          <w:szCs w:val="22"/>
        </w:rPr>
        <w:t xml:space="preserve"> </w:t>
      </w:r>
      <w:r w:rsidR="00C51034" w:rsidRPr="00D210A7">
        <w:rPr>
          <w:rFonts w:ascii="Arial" w:eastAsia="Calibri" w:hAnsi="Arial" w:cs="Arial"/>
          <w:sz w:val="22"/>
          <w:szCs w:val="22"/>
        </w:rPr>
        <w:t>showed that a</w:t>
      </w:r>
      <w:r w:rsidR="003D11A7">
        <w:rPr>
          <w:rFonts w:ascii="Arial" w:eastAsia="Calibri" w:hAnsi="Arial" w:cs="Arial"/>
          <w:sz w:val="22"/>
          <w:szCs w:val="22"/>
        </w:rPr>
        <w:t>bou</w:t>
      </w:r>
      <w:r w:rsidR="00C51034" w:rsidRPr="00D210A7">
        <w:rPr>
          <w:rFonts w:ascii="Arial" w:eastAsia="Calibri" w:hAnsi="Arial" w:cs="Arial"/>
          <w:sz w:val="22"/>
          <w:szCs w:val="22"/>
        </w:rPr>
        <w:t xml:space="preserve">t half of the warming over land </w:t>
      </w:r>
      <w:r w:rsidR="005B4DD9">
        <w:rPr>
          <w:rFonts w:ascii="Arial" w:eastAsia="Calibri" w:hAnsi="Arial" w:cs="Arial"/>
          <w:sz w:val="22"/>
          <w:szCs w:val="22"/>
        </w:rPr>
        <w:t xml:space="preserve">since 1980 </w:t>
      </w:r>
      <w:r w:rsidR="00C51034" w:rsidRPr="00D210A7">
        <w:rPr>
          <w:rFonts w:ascii="Arial" w:eastAsia="Calibri" w:hAnsi="Arial" w:cs="Arial"/>
          <w:sz w:val="22"/>
          <w:szCs w:val="22"/>
        </w:rPr>
        <w:t>in instrument data sets is due to the UHIE.</w:t>
      </w:r>
      <w:r w:rsidR="00211397">
        <w:rPr>
          <w:rStyle w:val="FootnoteReference"/>
          <w:rFonts w:ascii="Arial" w:eastAsia="Calibri" w:hAnsi="Arial" w:cs="Arial"/>
          <w:sz w:val="22"/>
          <w:szCs w:val="22"/>
        </w:rPr>
        <w:footnoteReference w:id="17"/>
      </w:r>
      <w:r w:rsidR="00C51034" w:rsidRPr="00D210A7">
        <w:rPr>
          <w:rFonts w:ascii="Arial" w:eastAsia="Calibri" w:hAnsi="Arial" w:cs="Arial"/>
          <w:sz w:val="22"/>
          <w:szCs w:val="22"/>
        </w:rPr>
        <w:t xml:space="preserve"> </w:t>
      </w:r>
      <w:r w:rsidR="000841AA">
        <w:rPr>
          <w:rFonts w:ascii="Arial" w:eastAsia="Calibri" w:hAnsi="Arial" w:cs="Arial"/>
          <w:sz w:val="22"/>
          <w:szCs w:val="22"/>
        </w:rPr>
        <w:t>The authors compare</w:t>
      </w:r>
      <w:r w:rsidR="00EF75A2">
        <w:rPr>
          <w:rFonts w:ascii="Arial" w:eastAsia="Calibri" w:hAnsi="Arial" w:cs="Arial"/>
          <w:sz w:val="22"/>
          <w:szCs w:val="22"/>
        </w:rPr>
        <w:t>d</w:t>
      </w:r>
      <w:r w:rsidR="000841AA" w:rsidRPr="000841AA">
        <w:rPr>
          <w:rFonts w:ascii="Arial" w:eastAsia="Calibri" w:hAnsi="Arial" w:cs="Arial"/>
          <w:sz w:val="22"/>
          <w:szCs w:val="22"/>
        </w:rPr>
        <w:t xml:space="preserve"> the pattern </w:t>
      </w:r>
      <w:r w:rsidR="000841AA" w:rsidRPr="000841AA">
        <w:rPr>
          <w:rFonts w:ascii="Arial" w:eastAsia="Calibri" w:hAnsi="Arial" w:cs="Arial"/>
          <w:sz w:val="22"/>
          <w:szCs w:val="22"/>
        </w:rPr>
        <w:lastRenderedPageBreak/>
        <w:t>of warming over the Earth's land surface to local economic conditions. They found a statistically significant correlation between the adjusted temperature data and economic development, meaning that the adjustments are not adequate to remove the urban heat island effects.</w:t>
      </w:r>
      <w:r w:rsidR="000841AA">
        <w:rPr>
          <w:rFonts w:ascii="Arial" w:eastAsia="Calibri" w:hAnsi="Arial" w:cs="Arial"/>
          <w:sz w:val="22"/>
          <w:szCs w:val="22"/>
        </w:rPr>
        <w:t xml:space="preserve"> </w:t>
      </w:r>
      <w:r w:rsidR="00B06364">
        <w:rPr>
          <w:rFonts w:ascii="Arial" w:eastAsia="Calibri" w:hAnsi="Arial" w:cs="Arial"/>
          <w:sz w:val="22"/>
          <w:szCs w:val="22"/>
        </w:rPr>
        <w:t xml:space="preserve">The UHIE </w:t>
      </w:r>
      <w:r w:rsidR="000841AA">
        <w:rPr>
          <w:rFonts w:ascii="Arial" w:eastAsia="Calibri" w:hAnsi="Arial" w:cs="Arial"/>
          <w:sz w:val="22"/>
          <w:szCs w:val="22"/>
        </w:rPr>
        <w:t xml:space="preserve">in the datasets </w:t>
      </w:r>
      <w:r w:rsidR="00B06364">
        <w:rPr>
          <w:rFonts w:ascii="Arial" w:eastAsia="Calibri" w:hAnsi="Arial" w:cs="Arial"/>
          <w:sz w:val="22"/>
          <w:szCs w:val="22"/>
        </w:rPr>
        <w:t>over land is about 0.</w:t>
      </w:r>
      <w:r w:rsidR="002A581E">
        <w:rPr>
          <w:rFonts w:ascii="Arial" w:eastAsia="Calibri" w:hAnsi="Arial" w:cs="Arial"/>
          <w:sz w:val="22"/>
          <w:szCs w:val="22"/>
        </w:rPr>
        <w:t>1</w:t>
      </w:r>
      <w:r w:rsidR="007B3A7B">
        <w:rPr>
          <w:rFonts w:ascii="Arial" w:eastAsia="Calibri" w:hAnsi="Arial" w:cs="Arial"/>
          <w:sz w:val="22"/>
          <w:szCs w:val="22"/>
        </w:rPr>
        <w:t>4</w:t>
      </w:r>
      <w:r w:rsidR="002A581E">
        <w:rPr>
          <w:rFonts w:ascii="Arial" w:eastAsia="Calibri" w:hAnsi="Arial" w:cs="Arial"/>
          <w:sz w:val="22"/>
          <w:szCs w:val="22"/>
        </w:rPr>
        <w:t xml:space="preserve"> </w:t>
      </w:r>
      <w:r w:rsidR="002A581E">
        <w:rPr>
          <w:rFonts w:ascii="Calibri" w:eastAsia="Calibri" w:hAnsi="Calibri" w:cs="Arial"/>
          <w:sz w:val="22"/>
          <w:szCs w:val="22"/>
        </w:rPr>
        <w:t>°</w:t>
      </w:r>
      <w:r w:rsidR="002A581E">
        <w:rPr>
          <w:rFonts w:ascii="Arial" w:eastAsia="Calibri" w:hAnsi="Arial" w:cs="Arial"/>
          <w:sz w:val="22"/>
          <w:szCs w:val="22"/>
        </w:rPr>
        <w:t>C/decade</w:t>
      </w:r>
      <w:r>
        <w:rPr>
          <w:rFonts w:ascii="Arial" w:eastAsia="Calibri" w:hAnsi="Arial" w:cs="Arial"/>
          <w:sz w:val="22"/>
          <w:szCs w:val="22"/>
        </w:rPr>
        <w:t>. The global land area is 29.2%</w:t>
      </w:r>
      <w:r w:rsidR="002A581E">
        <w:rPr>
          <w:rFonts w:ascii="Arial" w:eastAsia="Calibri" w:hAnsi="Arial" w:cs="Arial"/>
          <w:sz w:val="22"/>
          <w:szCs w:val="22"/>
        </w:rPr>
        <w:t>,</w:t>
      </w:r>
      <w:r>
        <w:rPr>
          <w:rFonts w:ascii="Arial" w:eastAsia="Calibri" w:hAnsi="Arial" w:cs="Arial"/>
          <w:sz w:val="22"/>
          <w:szCs w:val="22"/>
        </w:rPr>
        <w:t xml:space="preserve"> so the UHIE</w:t>
      </w:r>
      <w:r w:rsidR="002A581E">
        <w:rPr>
          <w:rFonts w:ascii="Arial" w:eastAsia="Calibri" w:hAnsi="Arial" w:cs="Arial"/>
          <w:sz w:val="22"/>
          <w:szCs w:val="22"/>
        </w:rPr>
        <w:t xml:space="preserve"> </w:t>
      </w:r>
      <w:r>
        <w:rPr>
          <w:rFonts w:ascii="Arial" w:eastAsia="Calibri" w:hAnsi="Arial" w:cs="Arial"/>
          <w:sz w:val="22"/>
          <w:szCs w:val="22"/>
        </w:rPr>
        <w:t>on a global basis is</w:t>
      </w:r>
      <w:r w:rsidR="002A581E">
        <w:rPr>
          <w:rFonts w:ascii="Arial" w:eastAsia="Calibri" w:hAnsi="Arial" w:cs="Arial"/>
          <w:sz w:val="22"/>
          <w:szCs w:val="22"/>
        </w:rPr>
        <w:t xml:space="preserve"> 0</w:t>
      </w:r>
      <w:r w:rsidR="00C51034" w:rsidRPr="00D210A7">
        <w:rPr>
          <w:rFonts w:ascii="Arial" w:eastAsia="Calibri" w:hAnsi="Arial" w:cs="Arial"/>
          <w:sz w:val="22"/>
          <w:szCs w:val="22"/>
        </w:rPr>
        <w:t>.0</w:t>
      </w:r>
      <w:r w:rsidR="0033307C">
        <w:rPr>
          <w:rFonts w:ascii="Arial" w:eastAsia="Calibri" w:hAnsi="Arial" w:cs="Arial"/>
          <w:sz w:val="22"/>
          <w:szCs w:val="22"/>
        </w:rPr>
        <w:t>4</w:t>
      </w:r>
      <w:r>
        <w:rPr>
          <w:rFonts w:ascii="Arial" w:eastAsia="Calibri" w:hAnsi="Arial" w:cs="Arial"/>
          <w:sz w:val="22"/>
          <w:szCs w:val="22"/>
        </w:rPr>
        <w:t>1</w:t>
      </w:r>
      <w:r w:rsidR="00C51034" w:rsidRPr="00D210A7">
        <w:rPr>
          <w:rFonts w:ascii="Arial" w:eastAsia="Calibri" w:hAnsi="Arial" w:cs="Arial"/>
          <w:sz w:val="22"/>
          <w:szCs w:val="22"/>
        </w:rPr>
        <w:t xml:space="preserve"> °C/decade.</w:t>
      </w:r>
      <w:r w:rsidR="002A581E">
        <w:rPr>
          <w:rFonts w:ascii="Arial" w:eastAsia="Calibri" w:hAnsi="Arial" w:cs="Arial"/>
          <w:sz w:val="22"/>
          <w:szCs w:val="22"/>
        </w:rPr>
        <w:t xml:space="preserve"> </w:t>
      </w:r>
    </w:p>
    <w:p w:rsidR="00424DB7" w:rsidRDefault="000841AA" w:rsidP="00937D61">
      <w:pPr>
        <w:autoSpaceDE w:val="0"/>
        <w:autoSpaceDN w:val="0"/>
        <w:adjustRightInd w:val="0"/>
        <w:jc w:val="both"/>
        <w:rPr>
          <w:rFonts w:ascii="Arial" w:eastAsia="Calibri" w:hAnsi="Arial" w:cs="Arial"/>
          <w:sz w:val="22"/>
          <w:szCs w:val="22"/>
        </w:rPr>
      </w:pPr>
      <w:r>
        <w:rPr>
          <w:rFonts w:ascii="Arial" w:eastAsia="Calibri" w:hAnsi="Arial" w:cs="Arial"/>
          <w:sz w:val="22"/>
          <w:szCs w:val="22"/>
        </w:rPr>
        <w:t>A</w:t>
      </w:r>
      <w:r w:rsidRPr="000841AA">
        <w:rPr>
          <w:rFonts w:ascii="Arial" w:eastAsia="Calibri" w:hAnsi="Arial" w:cs="Arial"/>
          <w:sz w:val="22"/>
          <w:szCs w:val="22"/>
        </w:rPr>
        <w:t xml:space="preserve"> paper </w:t>
      </w:r>
      <w:r>
        <w:rPr>
          <w:rFonts w:ascii="Arial" w:eastAsia="Calibri" w:hAnsi="Arial" w:cs="Arial"/>
          <w:sz w:val="22"/>
          <w:szCs w:val="22"/>
        </w:rPr>
        <w:t xml:space="preserve">by De </w:t>
      </w:r>
      <w:proofErr w:type="spellStart"/>
      <w:r>
        <w:rPr>
          <w:rFonts w:ascii="Arial" w:eastAsia="Calibri" w:hAnsi="Arial" w:cs="Arial"/>
          <w:sz w:val="22"/>
          <w:szCs w:val="22"/>
        </w:rPr>
        <w:t>Latt</w:t>
      </w:r>
      <w:proofErr w:type="spellEnd"/>
      <w:r>
        <w:rPr>
          <w:rFonts w:ascii="Arial" w:eastAsia="Calibri" w:hAnsi="Arial" w:cs="Arial"/>
          <w:sz w:val="22"/>
          <w:szCs w:val="22"/>
        </w:rPr>
        <w:t xml:space="preserve"> and </w:t>
      </w:r>
      <w:proofErr w:type="spellStart"/>
      <w:r>
        <w:rPr>
          <w:rFonts w:ascii="Arial" w:eastAsia="Calibri" w:hAnsi="Arial" w:cs="Arial"/>
          <w:sz w:val="22"/>
          <w:szCs w:val="22"/>
        </w:rPr>
        <w:t>Maurellis</w:t>
      </w:r>
      <w:proofErr w:type="spellEnd"/>
      <w:r>
        <w:rPr>
          <w:rFonts w:ascii="Arial" w:eastAsia="Calibri" w:hAnsi="Arial" w:cs="Arial"/>
          <w:sz w:val="22"/>
          <w:szCs w:val="22"/>
        </w:rPr>
        <w:t xml:space="preserve"> 2005 </w:t>
      </w:r>
      <w:r w:rsidR="00432C75">
        <w:rPr>
          <w:rFonts w:ascii="Arial" w:eastAsia="Calibri" w:hAnsi="Arial" w:cs="Arial"/>
          <w:sz w:val="22"/>
          <w:szCs w:val="22"/>
        </w:rPr>
        <w:t xml:space="preserve">(DM2005) </w:t>
      </w:r>
      <w:r w:rsidRPr="000841AA">
        <w:rPr>
          <w:rFonts w:ascii="Arial" w:eastAsia="Calibri" w:hAnsi="Arial" w:cs="Arial"/>
          <w:sz w:val="22"/>
          <w:szCs w:val="22"/>
        </w:rPr>
        <w:t>gives evidence of strong influences of urban activity and other surface processes on measured temperature trends in both the surface dataset by the Climate Research Unit and the satellite lower troposphere datasets.</w:t>
      </w:r>
      <w:r w:rsidR="001074F3">
        <w:rPr>
          <w:rStyle w:val="FootnoteReference"/>
          <w:rFonts w:ascii="Arial" w:eastAsia="Calibri" w:hAnsi="Arial" w:cs="Arial"/>
          <w:sz w:val="22"/>
          <w:szCs w:val="22"/>
        </w:rPr>
        <w:footnoteReference w:id="18"/>
      </w:r>
      <w:r w:rsidRPr="000841AA">
        <w:rPr>
          <w:rFonts w:ascii="Arial" w:eastAsia="Calibri" w:hAnsi="Arial" w:cs="Arial"/>
          <w:sz w:val="22"/>
          <w:szCs w:val="22"/>
        </w:rPr>
        <w:t xml:space="preserve"> The gridded emissions of CO</w:t>
      </w:r>
      <w:r w:rsidRPr="000841AA">
        <w:rPr>
          <w:rFonts w:ascii="Arial" w:eastAsia="Calibri" w:hAnsi="Arial" w:cs="Arial"/>
          <w:sz w:val="22"/>
          <w:szCs w:val="22"/>
          <w:vertAlign w:val="subscript"/>
        </w:rPr>
        <w:t>2</w:t>
      </w:r>
      <w:r w:rsidRPr="000841AA">
        <w:rPr>
          <w:rFonts w:ascii="Arial" w:eastAsia="Calibri" w:hAnsi="Arial" w:cs="Arial"/>
          <w:sz w:val="22"/>
          <w:szCs w:val="22"/>
        </w:rPr>
        <w:t xml:space="preserve"> </w:t>
      </w:r>
      <w:r w:rsidR="005921CE">
        <w:rPr>
          <w:rFonts w:ascii="Arial" w:eastAsia="Calibri" w:hAnsi="Arial" w:cs="Arial"/>
          <w:sz w:val="22"/>
          <w:szCs w:val="22"/>
        </w:rPr>
        <w:t>are</w:t>
      </w:r>
      <w:r w:rsidRPr="000841AA">
        <w:rPr>
          <w:rFonts w:ascii="Arial" w:eastAsia="Calibri" w:hAnsi="Arial" w:cs="Arial"/>
          <w:sz w:val="22"/>
          <w:szCs w:val="22"/>
        </w:rPr>
        <w:t xml:space="preserve"> used as a proxy of urbanization. The analysis is done by spatial-thresholding and binning techniques. The analysis finds that surface and satellite-measured temperature trends are higher in the vicinity of industrialized region</w:t>
      </w:r>
      <w:r w:rsidR="00E85B4D">
        <w:rPr>
          <w:rFonts w:ascii="Arial" w:eastAsia="Calibri" w:hAnsi="Arial" w:cs="Arial"/>
          <w:sz w:val="22"/>
          <w:szCs w:val="22"/>
        </w:rPr>
        <w:t>s</w:t>
      </w:r>
      <w:r w:rsidRPr="000841AA">
        <w:rPr>
          <w:rFonts w:ascii="Arial" w:eastAsia="Calibri" w:hAnsi="Arial" w:cs="Arial"/>
          <w:sz w:val="22"/>
          <w:szCs w:val="22"/>
        </w:rPr>
        <w:t xml:space="preserve"> while this is not found in climate model simulations.</w:t>
      </w:r>
      <w:r w:rsidR="005921CE">
        <w:rPr>
          <w:rFonts w:ascii="Arial" w:eastAsia="Calibri" w:hAnsi="Arial" w:cs="Arial"/>
          <w:sz w:val="22"/>
          <w:szCs w:val="22"/>
        </w:rPr>
        <w:t xml:space="preserve"> </w:t>
      </w:r>
      <w:r w:rsidR="00211397">
        <w:rPr>
          <w:rFonts w:ascii="Arial" w:eastAsia="Calibri" w:hAnsi="Arial" w:cs="Arial"/>
          <w:sz w:val="22"/>
          <w:szCs w:val="22"/>
        </w:rPr>
        <w:t>The measured global mean temperature trend 1979 – 2001 is 0.16</w:t>
      </w:r>
      <w:r w:rsidR="00456EA5">
        <w:rPr>
          <w:rFonts w:ascii="Arial" w:eastAsia="Calibri" w:hAnsi="Arial" w:cs="Arial"/>
          <w:sz w:val="22"/>
          <w:szCs w:val="22"/>
        </w:rPr>
        <w:t>9</w:t>
      </w:r>
      <w:r w:rsidR="00211397">
        <w:rPr>
          <w:rFonts w:ascii="Arial" w:eastAsia="Calibri" w:hAnsi="Arial" w:cs="Arial"/>
          <w:sz w:val="22"/>
          <w:szCs w:val="22"/>
        </w:rPr>
        <w:t xml:space="preserve"> </w:t>
      </w:r>
      <w:r w:rsidR="00211397">
        <w:rPr>
          <w:rFonts w:ascii="Calibri" w:eastAsia="Calibri" w:hAnsi="Calibri" w:cs="Calibri"/>
          <w:sz w:val="22"/>
          <w:szCs w:val="22"/>
        </w:rPr>
        <w:t>°</w:t>
      </w:r>
      <w:r w:rsidR="00211397">
        <w:rPr>
          <w:rFonts w:ascii="Arial" w:eastAsia="Calibri" w:hAnsi="Arial" w:cs="Arial"/>
          <w:sz w:val="22"/>
          <w:szCs w:val="22"/>
        </w:rPr>
        <w:t xml:space="preserve">C/decade, while the trend without urbanization is 0.129 </w:t>
      </w:r>
      <w:r w:rsidR="00211397" w:rsidRPr="00211397">
        <w:rPr>
          <w:rFonts w:ascii="Arial" w:eastAsia="Calibri" w:hAnsi="Arial" w:cs="Arial"/>
          <w:sz w:val="22"/>
          <w:szCs w:val="22"/>
        </w:rPr>
        <w:t>°C/decade</w:t>
      </w:r>
      <w:r w:rsidR="00211397">
        <w:rPr>
          <w:rFonts w:ascii="Arial" w:eastAsia="Calibri" w:hAnsi="Arial" w:cs="Arial"/>
          <w:sz w:val="22"/>
          <w:szCs w:val="22"/>
        </w:rPr>
        <w:t>. Therefore the study shows the UHIE is 0.04</w:t>
      </w:r>
      <w:r w:rsidR="005E507B">
        <w:rPr>
          <w:rFonts w:ascii="Arial" w:eastAsia="Calibri" w:hAnsi="Arial" w:cs="Arial"/>
          <w:sz w:val="22"/>
          <w:szCs w:val="22"/>
        </w:rPr>
        <w:t>0</w:t>
      </w:r>
      <w:r w:rsidR="00211397">
        <w:rPr>
          <w:rFonts w:ascii="Arial" w:eastAsia="Calibri" w:hAnsi="Arial" w:cs="Arial"/>
          <w:sz w:val="22"/>
          <w:szCs w:val="22"/>
        </w:rPr>
        <w:t xml:space="preserve"> </w:t>
      </w:r>
      <w:r w:rsidR="00211397" w:rsidRPr="00211397">
        <w:rPr>
          <w:rFonts w:ascii="Arial" w:eastAsia="Calibri" w:hAnsi="Arial" w:cs="Arial"/>
          <w:sz w:val="22"/>
          <w:szCs w:val="22"/>
        </w:rPr>
        <w:t>°C/decade</w:t>
      </w:r>
      <w:r w:rsidR="00211397">
        <w:rPr>
          <w:rFonts w:ascii="Arial" w:eastAsia="Calibri" w:hAnsi="Arial" w:cs="Arial"/>
          <w:sz w:val="22"/>
          <w:szCs w:val="22"/>
        </w:rPr>
        <w:t xml:space="preserve">. </w:t>
      </w:r>
      <w:r w:rsidR="001074F3">
        <w:rPr>
          <w:rFonts w:ascii="Arial" w:eastAsia="Calibri" w:hAnsi="Arial" w:cs="Arial"/>
          <w:sz w:val="22"/>
          <w:szCs w:val="22"/>
        </w:rPr>
        <w:t xml:space="preserve">The results of </w:t>
      </w:r>
      <w:r w:rsidR="009A1037">
        <w:rPr>
          <w:rFonts w:ascii="Arial" w:eastAsia="Calibri" w:hAnsi="Arial" w:cs="Arial"/>
          <w:sz w:val="22"/>
          <w:szCs w:val="22"/>
        </w:rPr>
        <w:t xml:space="preserve">this study and the MM2007 study </w:t>
      </w:r>
      <w:r w:rsidR="00452183">
        <w:rPr>
          <w:rFonts w:ascii="Arial" w:eastAsia="Calibri" w:hAnsi="Arial" w:cs="Arial"/>
          <w:sz w:val="22"/>
          <w:szCs w:val="22"/>
        </w:rPr>
        <w:t>are nearly identical</w:t>
      </w:r>
      <w:r w:rsidR="009A1037">
        <w:rPr>
          <w:rFonts w:ascii="Arial" w:eastAsia="Calibri" w:hAnsi="Arial" w:cs="Arial"/>
          <w:sz w:val="22"/>
          <w:szCs w:val="22"/>
        </w:rPr>
        <w:t xml:space="preserve">. The average UHIE warming trends of 0.040 </w:t>
      </w:r>
      <w:r w:rsidR="009A1037" w:rsidRPr="00211397">
        <w:rPr>
          <w:rFonts w:ascii="Arial" w:eastAsia="Calibri" w:hAnsi="Arial" w:cs="Arial"/>
          <w:sz w:val="22"/>
          <w:szCs w:val="22"/>
        </w:rPr>
        <w:t>°C/decade</w:t>
      </w:r>
      <w:r w:rsidR="009A1037">
        <w:rPr>
          <w:rFonts w:ascii="Arial" w:eastAsia="Calibri" w:hAnsi="Arial" w:cs="Arial"/>
          <w:sz w:val="22"/>
          <w:szCs w:val="22"/>
        </w:rPr>
        <w:t xml:space="preserve"> from 1979 will be used to adjust the temperature rise of the LC2018 study.</w:t>
      </w:r>
      <w:r w:rsidR="00452183">
        <w:rPr>
          <w:rFonts w:ascii="Arial" w:eastAsia="Calibri" w:hAnsi="Arial" w:cs="Arial"/>
          <w:sz w:val="22"/>
          <w:szCs w:val="22"/>
        </w:rPr>
        <w:t xml:space="preserve"> </w:t>
      </w:r>
      <w:r w:rsidR="00424DB7">
        <w:rPr>
          <w:rFonts w:ascii="Arial" w:eastAsia="Calibri" w:hAnsi="Arial" w:cs="Arial"/>
          <w:sz w:val="22"/>
          <w:szCs w:val="22"/>
        </w:rPr>
        <w:t>T</w:t>
      </w:r>
      <w:r w:rsidR="00424DB7" w:rsidRPr="00424DB7">
        <w:rPr>
          <w:rFonts w:ascii="Arial" w:eastAsia="Calibri" w:hAnsi="Arial" w:cs="Arial"/>
          <w:sz w:val="22"/>
          <w:szCs w:val="22"/>
        </w:rPr>
        <w:t xml:space="preserve">he temperature changes used in the </w:t>
      </w:r>
      <w:r w:rsidR="00424DB7">
        <w:rPr>
          <w:rFonts w:ascii="Arial" w:eastAsia="Calibri" w:hAnsi="Arial" w:cs="Arial"/>
          <w:sz w:val="22"/>
          <w:szCs w:val="22"/>
        </w:rPr>
        <w:t xml:space="preserve">LC2018 </w:t>
      </w:r>
      <w:r w:rsidR="00424DB7" w:rsidRPr="00424DB7">
        <w:rPr>
          <w:rFonts w:ascii="Arial" w:eastAsia="Calibri" w:hAnsi="Arial" w:cs="Arial"/>
          <w:sz w:val="22"/>
          <w:szCs w:val="22"/>
        </w:rPr>
        <w:t>climate sensitivity calculations must b</w:t>
      </w:r>
      <w:r w:rsidR="006C3930">
        <w:rPr>
          <w:rFonts w:ascii="Arial" w:eastAsia="Calibri" w:hAnsi="Arial" w:cs="Arial"/>
          <w:sz w:val="22"/>
          <w:szCs w:val="22"/>
        </w:rPr>
        <w:t>e</w:t>
      </w:r>
      <w:r w:rsidR="00424DB7" w:rsidRPr="00424DB7">
        <w:rPr>
          <w:rFonts w:ascii="Arial" w:eastAsia="Calibri" w:hAnsi="Arial" w:cs="Arial"/>
          <w:sz w:val="22"/>
          <w:szCs w:val="22"/>
        </w:rPr>
        <w:t xml:space="preserve"> reduce by 0.1</w:t>
      </w:r>
      <w:r w:rsidR="00424DB7">
        <w:rPr>
          <w:rFonts w:ascii="Arial" w:eastAsia="Calibri" w:hAnsi="Arial" w:cs="Arial"/>
          <w:sz w:val="22"/>
          <w:szCs w:val="22"/>
        </w:rPr>
        <w:t>33</w:t>
      </w:r>
      <w:r w:rsidR="00424DB7" w:rsidRPr="00424DB7">
        <w:rPr>
          <w:rFonts w:ascii="Arial" w:eastAsia="Calibri" w:hAnsi="Arial" w:cs="Arial"/>
          <w:sz w:val="22"/>
          <w:szCs w:val="22"/>
        </w:rPr>
        <w:t xml:space="preserve"> °C</w:t>
      </w:r>
      <w:r w:rsidR="00424DB7">
        <w:rPr>
          <w:rFonts w:ascii="Arial" w:eastAsia="Calibri" w:hAnsi="Arial" w:cs="Arial"/>
          <w:sz w:val="22"/>
          <w:szCs w:val="22"/>
        </w:rPr>
        <w:t xml:space="preserve"> to account for the UHIE from 1979. No UHIE adjustment is made prior to 1979 due to a lack of studies. Considering that it is likely that there was UHIEs prior to 1979, this adjustment is considered conservative.</w:t>
      </w:r>
    </w:p>
    <w:p w:rsidR="001074F3" w:rsidRDefault="009A1037" w:rsidP="00937D61">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These studies are </w:t>
      </w:r>
      <w:r w:rsidR="00452183">
        <w:rPr>
          <w:rFonts w:ascii="Arial" w:eastAsia="Calibri" w:hAnsi="Arial" w:cs="Arial"/>
          <w:sz w:val="22"/>
          <w:szCs w:val="22"/>
        </w:rPr>
        <w:t>supported by numerous other studies.</w:t>
      </w:r>
      <w:r w:rsidR="002D4E15">
        <w:rPr>
          <w:rFonts w:ascii="Arial" w:eastAsia="Calibri" w:hAnsi="Arial" w:cs="Arial"/>
          <w:sz w:val="22"/>
          <w:szCs w:val="22"/>
        </w:rPr>
        <w:t xml:space="preserve"> </w:t>
      </w:r>
      <w:r w:rsidR="00452183">
        <w:rPr>
          <w:rFonts w:ascii="Arial" w:eastAsia="Calibri" w:hAnsi="Arial" w:cs="Arial"/>
          <w:sz w:val="22"/>
          <w:szCs w:val="22"/>
        </w:rPr>
        <w:t xml:space="preserve">A study </w:t>
      </w:r>
      <w:r w:rsidR="00452183" w:rsidRPr="00452183">
        <w:rPr>
          <w:rFonts w:ascii="Arial" w:eastAsia="Calibri" w:hAnsi="Arial" w:cs="Arial"/>
          <w:sz w:val="22"/>
          <w:szCs w:val="22"/>
        </w:rPr>
        <w:t>by Nicola</w:t>
      </w:r>
      <w:r w:rsidR="00452183">
        <w:rPr>
          <w:rFonts w:ascii="Arial" w:eastAsia="Calibri" w:hAnsi="Arial" w:cs="Arial"/>
          <w:sz w:val="22"/>
          <w:szCs w:val="22"/>
        </w:rPr>
        <w:t xml:space="preserve"> </w:t>
      </w:r>
      <w:proofErr w:type="spellStart"/>
      <w:r w:rsidR="00452183" w:rsidRPr="00452183">
        <w:rPr>
          <w:rFonts w:ascii="Arial" w:eastAsia="Calibri" w:hAnsi="Arial" w:cs="Arial"/>
          <w:sz w:val="22"/>
          <w:szCs w:val="22"/>
        </w:rPr>
        <w:t>Scafetta</w:t>
      </w:r>
      <w:proofErr w:type="spellEnd"/>
      <w:r w:rsidR="00452183" w:rsidRPr="00452183">
        <w:rPr>
          <w:rFonts w:ascii="Arial" w:eastAsia="Calibri" w:hAnsi="Arial" w:cs="Arial"/>
          <w:sz w:val="22"/>
          <w:szCs w:val="22"/>
        </w:rPr>
        <w:t xml:space="preserve"> and </w:t>
      </w:r>
      <w:proofErr w:type="spellStart"/>
      <w:r w:rsidR="00452183" w:rsidRPr="00452183">
        <w:rPr>
          <w:rFonts w:ascii="Arial" w:eastAsia="Calibri" w:hAnsi="Arial" w:cs="Arial"/>
          <w:sz w:val="22"/>
          <w:szCs w:val="22"/>
        </w:rPr>
        <w:t>Shenghui</w:t>
      </w:r>
      <w:proofErr w:type="spellEnd"/>
      <w:r w:rsidR="00452183" w:rsidRPr="00452183">
        <w:rPr>
          <w:rFonts w:ascii="Arial" w:eastAsia="Calibri" w:hAnsi="Arial" w:cs="Arial"/>
          <w:sz w:val="22"/>
          <w:szCs w:val="22"/>
        </w:rPr>
        <w:t xml:space="preserve"> Ouyang used the divergence of the daily measured maximum and minimum temperatures to investigate the </w:t>
      </w:r>
      <w:r w:rsidR="00EF75A2">
        <w:rPr>
          <w:rFonts w:ascii="Arial" w:eastAsia="Calibri" w:hAnsi="Arial" w:cs="Arial"/>
          <w:sz w:val="22"/>
          <w:szCs w:val="22"/>
        </w:rPr>
        <w:t>UHIE</w:t>
      </w:r>
      <w:r w:rsidR="00452183" w:rsidRPr="00452183">
        <w:rPr>
          <w:rFonts w:ascii="Arial" w:eastAsia="Calibri" w:hAnsi="Arial" w:cs="Arial"/>
          <w:sz w:val="22"/>
          <w:szCs w:val="22"/>
        </w:rPr>
        <w:t xml:space="preserve"> in China.</w:t>
      </w:r>
      <w:r w:rsidR="00832663">
        <w:rPr>
          <w:rStyle w:val="FootnoteReference"/>
          <w:rFonts w:ascii="Arial" w:eastAsia="Calibri" w:hAnsi="Arial" w:cs="Arial"/>
          <w:sz w:val="22"/>
          <w:szCs w:val="22"/>
        </w:rPr>
        <w:footnoteReference w:id="19"/>
      </w:r>
      <w:r w:rsidR="00452183" w:rsidRPr="00452183">
        <w:rPr>
          <w:rFonts w:ascii="Arial" w:eastAsia="Calibri" w:hAnsi="Arial" w:cs="Arial"/>
          <w:sz w:val="22"/>
          <w:szCs w:val="22"/>
        </w:rPr>
        <w:t xml:space="preserve"> The study concluded that about 50% of the recorded warming since the 1940s is due to uncorrected urbanization bias.</w:t>
      </w:r>
      <w:r w:rsidR="003E7587">
        <w:rPr>
          <w:rFonts w:ascii="Arial" w:eastAsia="Calibri" w:hAnsi="Arial" w:cs="Arial"/>
          <w:sz w:val="22"/>
          <w:szCs w:val="22"/>
        </w:rPr>
        <w:t xml:space="preserve">  A study by </w:t>
      </w:r>
      <w:proofErr w:type="spellStart"/>
      <w:r w:rsidR="003E7587">
        <w:rPr>
          <w:rFonts w:ascii="Arial" w:eastAsia="Calibri" w:hAnsi="Arial" w:cs="Arial"/>
          <w:sz w:val="22"/>
          <w:szCs w:val="22"/>
        </w:rPr>
        <w:t>Quereda</w:t>
      </w:r>
      <w:proofErr w:type="spellEnd"/>
      <w:r w:rsidR="003E7587">
        <w:rPr>
          <w:rFonts w:ascii="Arial" w:eastAsia="Calibri" w:hAnsi="Arial" w:cs="Arial"/>
          <w:sz w:val="22"/>
          <w:szCs w:val="22"/>
        </w:rPr>
        <w:t xml:space="preserve"> et al 2016 of the UHIE in the Spanish Mediterranean concludes “</w:t>
      </w:r>
      <w:r w:rsidR="003E7587" w:rsidRPr="003E7587">
        <w:rPr>
          <w:rFonts w:ascii="Arial" w:eastAsia="Calibri" w:hAnsi="Arial" w:cs="Arial"/>
          <w:sz w:val="22"/>
          <w:szCs w:val="22"/>
        </w:rPr>
        <w:t>In</w:t>
      </w:r>
      <w:r w:rsidR="003E7587">
        <w:rPr>
          <w:rFonts w:ascii="Arial" w:eastAsia="Calibri" w:hAnsi="Arial" w:cs="Arial"/>
          <w:sz w:val="22"/>
          <w:szCs w:val="22"/>
        </w:rPr>
        <w:t xml:space="preserve"> </w:t>
      </w:r>
      <w:r w:rsidR="003E7587" w:rsidRPr="003E7587">
        <w:rPr>
          <w:rFonts w:ascii="Arial" w:eastAsia="Calibri" w:hAnsi="Arial" w:cs="Arial"/>
          <w:sz w:val="22"/>
          <w:szCs w:val="22"/>
        </w:rPr>
        <w:t>these Western Mediterranean cities, the UHI could account</w:t>
      </w:r>
      <w:r w:rsidR="003E7587">
        <w:rPr>
          <w:rFonts w:ascii="Arial" w:eastAsia="Calibri" w:hAnsi="Arial" w:cs="Arial"/>
          <w:sz w:val="22"/>
          <w:szCs w:val="22"/>
        </w:rPr>
        <w:t xml:space="preserve"> </w:t>
      </w:r>
      <w:r w:rsidR="003E7587" w:rsidRPr="003E7587">
        <w:rPr>
          <w:rFonts w:ascii="Arial" w:eastAsia="Calibri" w:hAnsi="Arial" w:cs="Arial"/>
          <w:sz w:val="22"/>
          <w:szCs w:val="22"/>
        </w:rPr>
        <w:t>for up to 80% of the recorded warming.</w:t>
      </w:r>
      <w:r w:rsidR="003E7587">
        <w:rPr>
          <w:rFonts w:ascii="Arial" w:eastAsia="Calibri" w:hAnsi="Arial" w:cs="Arial"/>
          <w:sz w:val="22"/>
          <w:szCs w:val="22"/>
        </w:rPr>
        <w:t>”</w:t>
      </w:r>
      <w:r w:rsidR="003E7587">
        <w:rPr>
          <w:rStyle w:val="FootnoteReference"/>
          <w:rFonts w:ascii="Arial" w:eastAsia="Calibri" w:hAnsi="Arial" w:cs="Arial"/>
          <w:sz w:val="22"/>
          <w:szCs w:val="22"/>
        </w:rPr>
        <w:footnoteReference w:id="20"/>
      </w:r>
    </w:p>
    <w:p w:rsidR="00EF7034" w:rsidRDefault="00EF7034" w:rsidP="00F92BB1">
      <w:pPr>
        <w:jc w:val="both"/>
        <w:rPr>
          <w:rFonts w:ascii="Arial" w:eastAsia="Calibri" w:hAnsi="Arial" w:cs="Arial"/>
          <w:sz w:val="22"/>
          <w:szCs w:val="22"/>
        </w:rPr>
      </w:pPr>
    </w:p>
    <w:p w:rsidR="009C2384" w:rsidRDefault="009C2384" w:rsidP="00F92BB1">
      <w:pPr>
        <w:jc w:val="both"/>
        <w:rPr>
          <w:rFonts w:ascii="Arial" w:eastAsia="Calibri" w:hAnsi="Arial" w:cs="Arial"/>
          <w:sz w:val="22"/>
          <w:szCs w:val="22"/>
        </w:rPr>
      </w:pPr>
    </w:p>
    <w:p w:rsidR="003B6E6B" w:rsidRDefault="00EF7034" w:rsidP="003B6E6B">
      <w:pPr>
        <w:jc w:val="both"/>
        <w:rPr>
          <w:rFonts w:ascii="Arial" w:eastAsia="Calibri" w:hAnsi="Arial" w:cs="Arial"/>
          <w:sz w:val="22"/>
          <w:szCs w:val="22"/>
        </w:rPr>
      </w:pPr>
      <w:r w:rsidRPr="00EF7034">
        <w:rPr>
          <w:rFonts w:ascii="Arial" w:eastAsia="Calibri" w:hAnsi="Arial" w:cs="Arial"/>
          <w:b/>
          <w:sz w:val="28"/>
          <w:szCs w:val="28"/>
        </w:rPr>
        <w:lastRenderedPageBreak/>
        <w:t>Summary of Climate Sensitivity Estimates</w:t>
      </w:r>
      <w:r w:rsidR="00D44022" w:rsidRPr="00D44022">
        <w:rPr>
          <w:rFonts w:ascii="Arial" w:eastAsia="Calibri" w:hAnsi="Arial" w:cs="Arial"/>
          <w:sz w:val="22"/>
          <w:szCs w:val="22"/>
        </w:rPr>
        <w:t xml:space="preserve"> </w:t>
      </w:r>
    </w:p>
    <w:p w:rsidR="00A13A67" w:rsidRDefault="003B6E6B" w:rsidP="00F92BB1">
      <w:pPr>
        <w:jc w:val="both"/>
        <w:rPr>
          <w:rFonts w:ascii="Arial" w:eastAsia="Calibri" w:hAnsi="Arial" w:cs="Arial"/>
          <w:sz w:val="22"/>
          <w:szCs w:val="22"/>
        </w:rPr>
      </w:pPr>
      <w:r w:rsidRPr="00832663">
        <w:rPr>
          <w:rFonts w:ascii="Arial" w:eastAsia="Calibri" w:hAnsi="Arial" w:cs="Arial"/>
          <w:sz w:val="22"/>
          <w:szCs w:val="22"/>
        </w:rPr>
        <w:t xml:space="preserve">The millennium </w:t>
      </w:r>
      <w:r w:rsidR="00F028A0">
        <w:rPr>
          <w:rFonts w:ascii="Arial" w:eastAsia="Calibri" w:hAnsi="Arial" w:cs="Arial"/>
          <w:sz w:val="22"/>
          <w:szCs w:val="22"/>
        </w:rPr>
        <w:t xml:space="preserve">cycle natural </w:t>
      </w:r>
      <w:r w:rsidRPr="00832663">
        <w:rPr>
          <w:rFonts w:ascii="Arial" w:eastAsia="Calibri" w:hAnsi="Arial" w:cs="Arial"/>
          <w:sz w:val="22"/>
          <w:szCs w:val="22"/>
        </w:rPr>
        <w:t xml:space="preserve">warming and UHIE corrections reduce the temperature change between the two periods of the LC2018 analysis due to GHG by 0.114 °C and 0.133 °C, respectively. These adjustments reduce the temperature change between the base and final periods from 0.797°C to 0.550 °C. The best estimate of ECS considering the </w:t>
      </w:r>
      <w:r w:rsidR="00F028A0">
        <w:rPr>
          <w:rFonts w:ascii="Arial" w:eastAsia="Calibri" w:hAnsi="Arial" w:cs="Arial"/>
          <w:sz w:val="22"/>
          <w:szCs w:val="22"/>
        </w:rPr>
        <w:t xml:space="preserve">natural </w:t>
      </w:r>
      <w:r w:rsidRPr="00832663">
        <w:rPr>
          <w:rFonts w:ascii="Arial" w:eastAsia="Calibri" w:hAnsi="Arial" w:cs="Arial"/>
          <w:sz w:val="22"/>
          <w:szCs w:val="22"/>
        </w:rPr>
        <w:t>millennium warming cycle and the UHIE is 1.0</w:t>
      </w:r>
      <w:r>
        <w:rPr>
          <w:rFonts w:ascii="Arial" w:eastAsia="Calibri" w:hAnsi="Arial" w:cs="Arial"/>
          <w:sz w:val="22"/>
          <w:szCs w:val="22"/>
        </w:rPr>
        <w:t>4</w:t>
      </w:r>
      <w:r w:rsidRPr="00832663">
        <w:rPr>
          <w:rFonts w:ascii="Arial" w:eastAsia="Calibri" w:hAnsi="Arial" w:cs="Arial"/>
          <w:sz w:val="22"/>
          <w:szCs w:val="22"/>
        </w:rPr>
        <w:t xml:space="preserve"> °C and the best estimate of TCR is 0.83 °C.</w:t>
      </w:r>
    </w:p>
    <w:tbl>
      <w:tblPr>
        <w:tblW w:w="97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1"/>
        <w:gridCol w:w="1269"/>
        <w:gridCol w:w="1472"/>
        <w:gridCol w:w="1350"/>
        <w:gridCol w:w="1260"/>
        <w:gridCol w:w="1440"/>
        <w:gridCol w:w="1350"/>
      </w:tblGrid>
      <w:tr w:rsidR="00545619" w:rsidRPr="00A37632" w:rsidTr="00F028A0">
        <w:trPr>
          <w:trHeight w:val="674"/>
        </w:trPr>
        <w:tc>
          <w:tcPr>
            <w:tcW w:w="9702" w:type="dxa"/>
            <w:gridSpan w:val="7"/>
          </w:tcPr>
          <w:p w:rsidR="00545619" w:rsidRPr="00B47730" w:rsidRDefault="00545619" w:rsidP="004A6E50">
            <w:pPr>
              <w:jc w:val="center"/>
              <w:rPr>
                <w:rFonts w:ascii="Arial" w:eastAsia="Calibri" w:hAnsi="Arial" w:cs="Arial"/>
                <w:b/>
                <w:sz w:val="24"/>
                <w:szCs w:val="24"/>
              </w:rPr>
            </w:pPr>
            <w:r w:rsidRPr="00B47730">
              <w:rPr>
                <w:rFonts w:ascii="Arial" w:eastAsia="Calibri" w:hAnsi="Arial" w:cs="Arial"/>
                <w:b/>
                <w:sz w:val="24"/>
                <w:szCs w:val="24"/>
              </w:rPr>
              <w:t xml:space="preserve">Table </w:t>
            </w:r>
            <w:r w:rsidR="004A6E50">
              <w:rPr>
                <w:rFonts w:ascii="Arial" w:eastAsia="Calibri" w:hAnsi="Arial" w:cs="Arial"/>
                <w:b/>
                <w:sz w:val="24"/>
                <w:szCs w:val="24"/>
              </w:rPr>
              <w:t>2</w:t>
            </w:r>
            <w:r w:rsidR="00912B05" w:rsidRPr="00B47730">
              <w:rPr>
                <w:rFonts w:ascii="Arial" w:eastAsia="Calibri" w:hAnsi="Arial" w:cs="Arial"/>
                <w:b/>
                <w:sz w:val="24"/>
                <w:szCs w:val="24"/>
              </w:rPr>
              <w:t>.</w:t>
            </w:r>
            <w:r w:rsidRPr="00B47730">
              <w:rPr>
                <w:rFonts w:ascii="Arial" w:eastAsia="Calibri" w:hAnsi="Arial" w:cs="Arial"/>
                <w:b/>
                <w:sz w:val="24"/>
                <w:szCs w:val="24"/>
              </w:rPr>
              <w:t xml:space="preserve">  Estimates of Equilibrium Climate Sensitivity and Transient Climate Response with </w:t>
            </w:r>
            <w:r w:rsidR="00524065" w:rsidRPr="00B47730">
              <w:rPr>
                <w:rFonts w:ascii="Arial" w:eastAsia="Calibri" w:hAnsi="Arial" w:cs="Arial"/>
                <w:b/>
                <w:sz w:val="24"/>
                <w:szCs w:val="24"/>
              </w:rPr>
              <w:t>U</w:t>
            </w:r>
            <w:r w:rsidRPr="00B47730">
              <w:rPr>
                <w:rFonts w:ascii="Arial" w:eastAsia="Calibri" w:hAnsi="Arial" w:cs="Arial"/>
                <w:b/>
                <w:sz w:val="24"/>
                <w:szCs w:val="24"/>
              </w:rPr>
              <w:t xml:space="preserve">ncertainty </w:t>
            </w:r>
            <w:r w:rsidR="00524065" w:rsidRPr="00B47730">
              <w:rPr>
                <w:rFonts w:ascii="Arial" w:eastAsia="Calibri" w:hAnsi="Arial" w:cs="Arial"/>
                <w:b/>
                <w:sz w:val="24"/>
                <w:szCs w:val="24"/>
              </w:rPr>
              <w:t>R</w:t>
            </w:r>
            <w:r w:rsidRPr="00B47730">
              <w:rPr>
                <w:rFonts w:ascii="Arial" w:eastAsia="Calibri" w:hAnsi="Arial" w:cs="Arial"/>
                <w:b/>
                <w:sz w:val="24"/>
                <w:szCs w:val="24"/>
              </w:rPr>
              <w:t>anges</w:t>
            </w:r>
          </w:p>
        </w:tc>
      </w:tr>
      <w:tr w:rsidR="00381E38" w:rsidRPr="00A37632" w:rsidTr="00F028A0">
        <w:trPr>
          <w:cantSplit/>
          <w:trHeight w:val="20"/>
        </w:trPr>
        <w:tc>
          <w:tcPr>
            <w:tcW w:w="1561" w:type="dxa"/>
            <w:vAlign w:val="center"/>
          </w:tcPr>
          <w:p w:rsidR="00C51034" w:rsidRPr="00A37632" w:rsidRDefault="001B48E3" w:rsidP="0043435C">
            <w:pPr>
              <w:jc w:val="center"/>
              <w:rPr>
                <w:rFonts w:ascii="Arial" w:eastAsia="Calibri" w:hAnsi="Arial" w:cs="Arial"/>
                <w:sz w:val="22"/>
                <w:szCs w:val="22"/>
              </w:rPr>
            </w:pPr>
            <w:r>
              <w:rPr>
                <w:rFonts w:ascii="Arial" w:eastAsia="Calibri" w:hAnsi="Arial" w:cs="Arial"/>
                <w:sz w:val="22"/>
                <w:szCs w:val="22"/>
              </w:rPr>
              <w:t>Case</w:t>
            </w:r>
          </w:p>
        </w:tc>
        <w:tc>
          <w:tcPr>
            <w:tcW w:w="0" w:type="auto"/>
          </w:tcPr>
          <w:p w:rsidR="00C51034" w:rsidRPr="00A37632" w:rsidRDefault="00C51034" w:rsidP="00524065">
            <w:pPr>
              <w:jc w:val="center"/>
              <w:rPr>
                <w:rFonts w:ascii="Arial" w:eastAsia="Calibri" w:hAnsi="Arial" w:cs="Arial"/>
              </w:rPr>
            </w:pPr>
            <w:r w:rsidRPr="00A37632">
              <w:rPr>
                <w:rFonts w:ascii="Arial" w:eastAsia="Calibri" w:hAnsi="Arial" w:cs="Arial"/>
              </w:rPr>
              <w:t>EC</w:t>
            </w:r>
            <w:r w:rsidR="00524065">
              <w:rPr>
                <w:rFonts w:ascii="Arial" w:eastAsia="Calibri" w:hAnsi="Arial" w:cs="Arial"/>
              </w:rPr>
              <w:t>S</w:t>
            </w:r>
            <w:r w:rsidRPr="00A37632">
              <w:rPr>
                <w:rFonts w:ascii="Arial" w:eastAsia="Calibri" w:hAnsi="Arial" w:cs="Arial"/>
              </w:rPr>
              <w:t xml:space="preserve"> Best Estimate</w:t>
            </w:r>
          </w:p>
        </w:tc>
        <w:tc>
          <w:tcPr>
            <w:tcW w:w="1472" w:type="dxa"/>
          </w:tcPr>
          <w:p w:rsidR="00C51034" w:rsidRPr="00A37632" w:rsidRDefault="00C51034" w:rsidP="00623C61">
            <w:pPr>
              <w:jc w:val="center"/>
              <w:rPr>
                <w:rFonts w:ascii="Arial" w:eastAsia="Calibri" w:hAnsi="Arial" w:cs="Arial"/>
              </w:rPr>
            </w:pPr>
            <w:r w:rsidRPr="00A37632">
              <w:rPr>
                <w:rFonts w:ascii="Arial" w:eastAsia="Calibri" w:hAnsi="Arial" w:cs="Arial"/>
              </w:rPr>
              <w:t>ECS</w:t>
            </w:r>
            <w:r>
              <w:rPr>
                <w:rFonts w:ascii="Arial" w:eastAsia="Calibri" w:hAnsi="Arial" w:cs="Arial"/>
              </w:rPr>
              <w:t xml:space="preserve"> </w:t>
            </w:r>
            <w:r w:rsidRPr="00A37632">
              <w:rPr>
                <w:rFonts w:ascii="Arial" w:eastAsia="Calibri" w:hAnsi="Arial" w:cs="Arial"/>
              </w:rPr>
              <w:t xml:space="preserve">17-83% range </w:t>
            </w:r>
            <w:r w:rsidRPr="00A37632">
              <w:rPr>
                <w:rFonts w:ascii="Calibri" w:eastAsia="Calibri" w:hAnsi="Calibri" w:cs="Arial"/>
              </w:rPr>
              <w:t>°</w:t>
            </w:r>
            <w:r w:rsidRPr="00A37632">
              <w:rPr>
                <w:rFonts w:ascii="Arial" w:eastAsia="Calibri" w:hAnsi="Arial" w:cs="Arial"/>
              </w:rPr>
              <w:t>C</w:t>
            </w:r>
          </w:p>
        </w:tc>
        <w:tc>
          <w:tcPr>
            <w:tcW w:w="1350" w:type="dxa"/>
          </w:tcPr>
          <w:p w:rsidR="00C51034" w:rsidRPr="00A37632" w:rsidRDefault="00C51034" w:rsidP="00623C61">
            <w:pPr>
              <w:jc w:val="center"/>
              <w:rPr>
                <w:rFonts w:ascii="Arial" w:eastAsia="Calibri" w:hAnsi="Arial" w:cs="Arial"/>
              </w:rPr>
            </w:pPr>
            <w:r w:rsidRPr="00A37632">
              <w:rPr>
                <w:rFonts w:ascii="Arial" w:eastAsia="Calibri" w:hAnsi="Arial" w:cs="Arial"/>
              </w:rPr>
              <w:t xml:space="preserve">ECS 5-95% range </w:t>
            </w:r>
            <w:r w:rsidRPr="00A37632">
              <w:rPr>
                <w:rFonts w:ascii="Calibri" w:eastAsia="Calibri" w:hAnsi="Calibri" w:cs="Arial"/>
              </w:rPr>
              <w:t>°</w:t>
            </w:r>
            <w:r w:rsidRPr="00A37632">
              <w:rPr>
                <w:rFonts w:ascii="Arial" w:eastAsia="Calibri" w:hAnsi="Arial" w:cs="Arial"/>
              </w:rPr>
              <w:t>C</w:t>
            </w:r>
          </w:p>
        </w:tc>
        <w:tc>
          <w:tcPr>
            <w:tcW w:w="1260" w:type="dxa"/>
          </w:tcPr>
          <w:p w:rsidR="00C51034" w:rsidRPr="00A37632" w:rsidRDefault="00C51034" w:rsidP="00623C61">
            <w:pPr>
              <w:jc w:val="center"/>
              <w:rPr>
                <w:rFonts w:ascii="Arial" w:eastAsia="Calibri" w:hAnsi="Arial" w:cs="Arial"/>
              </w:rPr>
            </w:pPr>
            <w:r w:rsidRPr="00A37632">
              <w:rPr>
                <w:rFonts w:ascii="Arial" w:eastAsia="Calibri" w:hAnsi="Arial" w:cs="Arial"/>
              </w:rPr>
              <w:t>TCR Best Estimate</w:t>
            </w:r>
          </w:p>
        </w:tc>
        <w:tc>
          <w:tcPr>
            <w:tcW w:w="1440" w:type="dxa"/>
          </w:tcPr>
          <w:p w:rsidR="00C51034" w:rsidRPr="00A37632" w:rsidRDefault="00C51034" w:rsidP="00623C61">
            <w:pPr>
              <w:jc w:val="center"/>
              <w:rPr>
                <w:rFonts w:ascii="Arial" w:eastAsia="Calibri" w:hAnsi="Arial" w:cs="Arial"/>
              </w:rPr>
            </w:pPr>
            <w:r w:rsidRPr="00A37632">
              <w:rPr>
                <w:rFonts w:ascii="Arial" w:eastAsia="Calibri" w:hAnsi="Arial" w:cs="Arial"/>
              </w:rPr>
              <w:t xml:space="preserve">TCR 17-83% range </w:t>
            </w:r>
            <w:r w:rsidRPr="00A37632">
              <w:rPr>
                <w:rFonts w:ascii="Calibri" w:eastAsia="Calibri" w:hAnsi="Calibri" w:cs="Arial"/>
              </w:rPr>
              <w:t>°</w:t>
            </w:r>
            <w:r w:rsidRPr="00A37632">
              <w:rPr>
                <w:rFonts w:ascii="Arial" w:eastAsia="Calibri" w:hAnsi="Arial" w:cs="Arial"/>
              </w:rPr>
              <w:t>C</w:t>
            </w:r>
          </w:p>
        </w:tc>
        <w:tc>
          <w:tcPr>
            <w:tcW w:w="1350" w:type="dxa"/>
          </w:tcPr>
          <w:p w:rsidR="00C51034" w:rsidRPr="00A37632" w:rsidRDefault="00C51034" w:rsidP="00623C61">
            <w:pPr>
              <w:jc w:val="center"/>
              <w:rPr>
                <w:rFonts w:ascii="Arial" w:eastAsia="Calibri" w:hAnsi="Arial" w:cs="Arial"/>
              </w:rPr>
            </w:pPr>
            <w:r w:rsidRPr="00A37632">
              <w:rPr>
                <w:rFonts w:ascii="Arial" w:eastAsia="Calibri" w:hAnsi="Arial" w:cs="Arial"/>
              </w:rPr>
              <w:t xml:space="preserve">TCR 5-95% range </w:t>
            </w:r>
            <w:r w:rsidRPr="00A37632">
              <w:rPr>
                <w:rFonts w:ascii="Calibri" w:eastAsia="Calibri" w:hAnsi="Calibri" w:cs="Arial"/>
              </w:rPr>
              <w:t>°</w:t>
            </w:r>
            <w:r w:rsidRPr="00A37632">
              <w:rPr>
                <w:rFonts w:ascii="Arial" w:eastAsia="Calibri" w:hAnsi="Arial" w:cs="Arial"/>
              </w:rPr>
              <w:t>C</w:t>
            </w:r>
          </w:p>
        </w:tc>
      </w:tr>
      <w:tr w:rsidR="00381E38" w:rsidRPr="00A37632" w:rsidTr="00F028A0">
        <w:trPr>
          <w:cantSplit/>
          <w:trHeight w:val="20"/>
        </w:trPr>
        <w:tc>
          <w:tcPr>
            <w:tcW w:w="1561" w:type="dxa"/>
            <w:vAlign w:val="bottom"/>
          </w:tcPr>
          <w:p w:rsidR="00C51034" w:rsidRPr="00A37632" w:rsidRDefault="00C51034" w:rsidP="00381E38">
            <w:pPr>
              <w:jc w:val="center"/>
              <w:rPr>
                <w:rFonts w:ascii="Arial" w:eastAsia="Calibri" w:hAnsi="Arial" w:cs="Arial"/>
              </w:rPr>
            </w:pPr>
            <w:r w:rsidRPr="00A37632">
              <w:rPr>
                <w:rFonts w:ascii="Arial" w:eastAsia="Calibri" w:hAnsi="Arial" w:cs="Arial"/>
              </w:rPr>
              <w:t>IPCC AR5</w:t>
            </w:r>
          </w:p>
        </w:tc>
        <w:tc>
          <w:tcPr>
            <w:tcW w:w="0" w:type="auto"/>
            <w:vAlign w:val="bottom"/>
          </w:tcPr>
          <w:p w:rsidR="00C51034" w:rsidRPr="004D66C8" w:rsidRDefault="004D66C8" w:rsidP="00381E38">
            <w:pPr>
              <w:jc w:val="center"/>
              <w:rPr>
                <w:rFonts w:ascii="Arial" w:eastAsia="Calibri" w:hAnsi="Arial" w:cs="Arial"/>
                <w:i/>
                <w:sz w:val="24"/>
                <w:szCs w:val="24"/>
              </w:rPr>
            </w:pPr>
            <w:r w:rsidRPr="004D66C8">
              <w:rPr>
                <w:rFonts w:ascii="Arial" w:eastAsia="Calibri" w:hAnsi="Arial" w:cs="Arial"/>
                <w:i/>
                <w:sz w:val="24"/>
                <w:szCs w:val="24"/>
              </w:rPr>
              <w:t>3</w:t>
            </w:r>
            <w:r>
              <w:rPr>
                <w:rFonts w:ascii="Arial" w:eastAsia="Calibri" w:hAnsi="Arial" w:cs="Arial"/>
                <w:i/>
                <w:sz w:val="24"/>
                <w:szCs w:val="24"/>
              </w:rPr>
              <w:t>.0</w:t>
            </w:r>
          </w:p>
        </w:tc>
        <w:tc>
          <w:tcPr>
            <w:tcW w:w="1472"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1.5-4.5</w:t>
            </w:r>
          </w:p>
        </w:tc>
        <w:tc>
          <w:tcPr>
            <w:tcW w:w="1350"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w:t>
            </w:r>
            <w:r w:rsidR="00C37FE1">
              <w:rPr>
                <w:rFonts w:ascii="Arial" w:eastAsia="Calibri" w:hAnsi="Arial" w:cs="Arial"/>
                <w:sz w:val="24"/>
                <w:szCs w:val="24"/>
              </w:rPr>
              <w:t>.0</w:t>
            </w:r>
            <w:r w:rsidRPr="00335ABA">
              <w:rPr>
                <w:rFonts w:ascii="Arial" w:eastAsia="Calibri" w:hAnsi="Arial" w:cs="Arial"/>
                <w:sz w:val="24"/>
                <w:szCs w:val="24"/>
              </w:rPr>
              <w:t>-</w:t>
            </w:r>
            <w:r w:rsidR="004D66C8" w:rsidRPr="004D66C8">
              <w:rPr>
                <w:rFonts w:ascii="Arial" w:eastAsia="Calibri" w:hAnsi="Arial" w:cs="Arial"/>
                <w:i/>
                <w:sz w:val="24"/>
                <w:szCs w:val="24"/>
              </w:rPr>
              <w:t>6.5</w:t>
            </w:r>
          </w:p>
        </w:tc>
        <w:tc>
          <w:tcPr>
            <w:tcW w:w="1260" w:type="dxa"/>
            <w:vAlign w:val="bottom"/>
          </w:tcPr>
          <w:p w:rsidR="00C51034" w:rsidRPr="004D66C8" w:rsidRDefault="00C51034" w:rsidP="00381E38">
            <w:pPr>
              <w:jc w:val="center"/>
              <w:rPr>
                <w:rFonts w:ascii="Arial" w:eastAsia="Calibri" w:hAnsi="Arial" w:cs="Arial"/>
                <w:i/>
                <w:sz w:val="24"/>
                <w:szCs w:val="24"/>
              </w:rPr>
            </w:pPr>
            <w:r w:rsidRPr="004D66C8">
              <w:rPr>
                <w:rFonts w:ascii="Arial" w:eastAsia="Calibri" w:hAnsi="Arial" w:cs="Arial"/>
                <w:i/>
                <w:sz w:val="24"/>
                <w:szCs w:val="24"/>
              </w:rPr>
              <w:t>1.</w:t>
            </w:r>
            <w:r w:rsidR="004D66C8" w:rsidRPr="004D66C8">
              <w:rPr>
                <w:rFonts w:ascii="Arial" w:eastAsia="Calibri" w:hAnsi="Arial" w:cs="Arial"/>
                <w:i/>
                <w:sz w:val="24"/>
                <w:szCs w:val="24"/>
              </w:rPr>
              <w:t>75</w:t>
            </w:r>
          </w:p>
        </w:tc>
        <w:tc>
          <w:tcPr>
            <w:tcW w:w="1440"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w:t>
            </w:r>
            <w:r w:rsidR="00C37FE1">
              <w:rPr>
                <w:rFonts w:ascii="Arial" w:eastAsia="Calibri" w:hAnsi="Arial" w:cs="Arial"/>
                <w:sz w:val="24"/>
                <w:szCs w:val="24"/>
              </w:rPr>
              <w:t>.0</w:t>
            </w:r>
            <w:r w:rsidRPr="00335ABA">
              <w:rPr>
                <w:rFonts w:ascii="Arial" w:eastAsia="Calibri" w:hAnsi="Arial" w:cs="Arial"/>
                <w:sz w:val="24"/>
                <w:szCs w:val="24"/>
              </w:rPr>
              <w:t>-2.5</w:t>
            </w:r>
          </w:p>
        </w:tc>
        <w:tc>
          <w:tcPr>
            <w:tcW w:w="1350" w:type="dxa"/>
            <w:vAlign w:val="bottom"/>
          </w:tcPr>
          <w:p w:rsidR="00C51034" w:rsidRPr="00335ABA" w:rsidRDefault="004D66C8" w:rsidP="00381E38">
            <w:pPr>
              <w:jc w:val="center"/>
              <w:rPr>
                <w:rFonts w:ascii="Arial" w:eastAsia="Calibri" w:hAnsi="Arial" w:cs="Arial"/>
                <w:sz w:val="24"/>
                <w:szCs w:val="24"/>
              </w:rPr>
            </w:pPr>
            <w:r w:rsidRPr="004D66C8">
              <w:rPr>
                <w:rFonts w:ascii="Arial" w:eastAsia="Calibri" w:hAnsi="Arial" w:cs="Arial"/>
                <w:i/>
                <w:sz w:val="24"/>
                <w:szCs w:val="24"/>
              </w:rPr>
              <w:t>0.5</w:t>
            </w:r>
            <w:r w:rsidR="00C51034" w:rsidRPr="00335ABA">
              <w:rPr>
                <w:rFonts w:ascii="Arial" w:eastAsia="Calibri" w:hAnsi="Arial" w:cs="Arial"/>
                <w:sz w:val="24"/>
                <w:szCs w:val="24"/>
              </w:rPr>
              <w:t>-3.0</w:t>
            </w:r>
          </w:p>
        </w:tc>
      </w:tr>
      <w:tr w:rsidR="00381E38" w:rsidRPr="00A37632" w:rsidTr="00F028A0">
        <w:trPr>
          <w:cantSplit/>
          <w:trHeight w:val="20"/>
        </w:trPr>
        <w:tc>
          <w:tcPr>
            <w:tcW w:w="1561" w:type="dxa"/>
            <w:vAlign w:val="bottom"/>
          </w:tcPr>
          <w:p w:rsidR="00C51034" w:rsidRPr="00A37632" w:rsidRDefault="00F4429E" w:rsidP="00381E38">
            <w:pPr>
              <w:jc w:val="center"/>
              <w:rPr>
                <w:rFonts w:ascii="Arial" w:eastAsia="Calibri" w:hAnsi="Arial" w:cs="Arial"/>
              </w:rPr>
            </w:pPr>
            <w:r>
              <w:rPr>
                <w:rFonts w:ascii="Arial" w:eastAsia="Calibri" w:hAnsi="Arial" w:cs="Arial"/>
              </w:rPr>
              <w:t>LC2018</w:t>
            </w:r>
          </w:p>
        </w:tc>
        <w:tc>
          <w:tcPr>
            <w:tcW w:w="0" w:type="auto"/>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w:t>
            </w:r>
            <w:r w:rsidR="00F4429E">
              <w:rPr>
                <w:rFonts w:ascii="Arial" w:eastAsia="Calibri" w:hAnsi="Arial" w:cs="Arial"/>
                <w:sz w:val="24"/>
                <w:szCs w:val="24"/>
              </w:rPr>
              <w:t>50</w:t>
            </w:r>
          </w:p>
        </w:tc>
        <w:tc>
          <w:tcPr>
            <w:tcW w:w="1472"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1.2</w:t>
            </w:r>
            <w:r w:rsidR="00F4429E">
              <w:rPr>
                <w:rFonts w:ascii="Arial" w:eastAsia="Calibri" w:hAnsi="Arial" w:cs="Arial"/>
                <w:sz w:val="24"/>
                <w:szCs w:val="24"/>
              </w:rPr>
              <w:t>0</w:t>
            </w:r>
            <w:r w:rsidRPr="00335ABA">
              <w:rPr>
                <w:rFonts w:ascii="Arial" w:eastAsia="Calibri" w:hAnsi="Arial" w:cs="Arial"/>
                <w:sz w:val="24"/>
                <w:szCs w:val="24"/>
              </w:rPr>
              <w:t>-</w:t>
            </w:r>
            <w:r w:rsidR="00F4429E">
              <w:rPr>
                <w:rFonts w:ascii="Arial" w:eastAsia="Calibri" w:hAnsi="Arial" w:cs="Arial"/>
                <w:sz w:val="24"/>
                <w:szCs w:val="24"/>
              </w:rPr>
              <w:t>1</w:t>
            </w:r>
            <w:r w:rsidRPr="00335ABA">
              <w:rPr>
                <w:rFonts w:ascii="Arial" w:eastAsia="Calibri" w:hAnsi="Arial" w:cs="Arial"/>
                <w:sz w:val="24"/>
                <w:szCs w:val="24"/>
              </w:rPr>
              <w:t>.</w:t>
            </w:r>
            <w:r w:rsidR="00F4429E">
              <w:rPr>
                <w:rFonts w:ascii="Arial" w:eastAsia="Calibri" w:hAnsi="Arial" w:cs="Arial"/>
                <w:sz w:val="24"/>
                <w:szCs w:val="24"/>
              </w:rPr>
              <w:t>95</w:t>
            </w:r>
          </w:p>
        </w:tc>
        <w:tc>
          <w:tcPr>
            <w:tcW w:w="1350"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1.05-</w:t>
            </w:r>
            <w:r w:rsidR="00F4429E">
              <w:rPr>
                <w:rFonts w:ascii="Arial" w:eastAsia="Calibri" w:hAnsi="Arial" w:cs="Arial"/>
                <w:sz w:val="24"/>
                <w:szCs w:val="24"/>
              </w:rPr>
              <w:t>2</w:t>
            </w:r>
            <w:r w:rsidRPr="00335ABA">
              <w:rPr>
                <w:rFonts w:ascii="Arial" w:eastAsia="Calibri" w:hAnsi="Arial" w:cs="Arial"/>
                <w:sz w:val="24"/>
                <w:szCs w:val="24"/>
              </w:rPr>
              <w:t>.</w:t>
            </w:r>
            <w:r w:rsidR="00F4429E">
              <w:rPr>
                <w:rFonts w:ascii="Arial" w:eastAsia="Calibri" w:hAnsi="Arial" w:cs="Arial"/>
                <w:sz w:val="24"/>
                <w:szCs w:val="24"/>
              </w:rPr>
              <w:t>4</w:t>
            </w:r>
            <w:r w:rsidRPr="00335ABA">
              <w:rPr>
                <w:rFonts w:ascii="Arial" w:eastAsia="Calibri" w:hAnsi="Arial" w:cs="Arial"/>
                <w:sz w:val="24"/>
                <w:szCs w:val="24"/>
              </w:rPr>
              <w:t>5</w:t>
            </w:r>
          </w:p>
        </w:tc>
        <w:tc>
          <w:tcPr>
            <w:tcW w:w="1260"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w:t>
            </w:r>
            <w:r w:rsidR="00F4429E">
              <w:rPr>
                <w:rFonts w:ascii="Arial" w:eastAsia="Calibri" w:hAnsi="Arial" w:cs="Arial"/>
                <w:sz w:val="24"/>
                <w:szCs w:val="24"/>
              </w:rPr>
              <w:t>20</w:t>
            </w:r>
          </w:p>
        </w:tc>
        <w:tc>
          <w:tcPr>
            <w:tcW w:w="1440"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1.0</w:t>
            </w:r>
            <w:r w:rsidR="00F4429E">
              <w:rPr>
                <w:rFonts w:ascii="Arial" w:eastAsia="Calibri" w:hAnsi="Arial" w:cs="Arial"/>
                <w:sz w:val="24"/>
                <w:szCs w:val="24"/>
              </w:rPr>
              <w:t>0</w:t>
            </w:r>
            <w:r w:rsidRPr="00335ABA">
              <w:rPr>
                <w:rFonts w:ascii="Arial" w:eastAsia="Calibri" w:hAnsi="Arial" w:cs="Arial"/>
                <w:sz w:val="24"/>
                <w:szCs w:val="24"/>
              </w:rPr>
              <w:t>-1.</w:t>
            </w:r>
            <w:r w:rsidR="00F4429E">
              <w:rPr>
                <w:rFonts w:ascii="Arial" w:eastAsia="Calibri" w:hAnsi="Arial" w:cs="Arial"/>
                <w:sz w:val="24"/>
                <w:szCs w:val="24"/>
              </w:rPr>
              <w:t>45</w:t>
            </w:r>
          </w:p>
        </w:tc>
        <w:tc>
          <w:tcPr>
            <w:tcW w:w="1350" w:type="dxa"/>
            <w:vAlign w:val="bottom"/>
          </w:tcPr>
          <w:p w:rsidR="00C51034" w:rsidRPr="00335ABA" w:rsidRDefault="00C51034" w:rsidP="00381E38">
            <w:pPr>
              <w:jc w:val="center"/>
              <w:rPr>
                <w:rFonts w:ascii="Arial" w:eastAsia="Calibri" w:hAnsi="Arial" w:cs="Arial"/>
                <w:sz w:val="24"/>
                <w:szCs w:val="24"/>
              </w:rPr>
            </w:pPr>
            <w:r w:rsidRPr="00335ABA">
              <w:rPr>
                <w:rFonts w:ascii="Arial" w:eastAsia="Calibri" w:hAnsi="Arial" w:cs="Arial"/>
                <w:sz w:val="24"/>
                <w:szCs w:val="24"/>
              </w:rPr>
              <w:t>0.90-</w:t>
            </w:r>
            <w:r w:rsidR="00F4429E">
              <w:rPr>
                <w:rFonts w:ascii="Arial" w:eastAsia="Calibri" w:hAnsi="Arial" w:cs="Arial"/>
                <w:sz w:val="24"/>
                <w:szCs w:val="24"/>
              </w:rPr>
              <w:t>1</w:t>
            </w:r>
            <w:r w:rsidRPr="00335ABA">
              <w:rPr>
                <w:rFonts w:ascii="Arial" w:eastAsia="Calibri" w:hAnsi="Arial" w:cs="Arial"/>
                <w:sz w:val="24"/>
                <w:szCs w:val="24"/>
              </w:rPr>
              <w:t>.</w:t>
            </w:r>
            <w:r w:rsidR="00F4429E">
              <w:rPr>
                <w:rFonts w:ascii="Arial" w:eastAsia="Calibri" w:hAnsi="Arial" w:cs="Arial"/>
                <w:sz w:val="24"/>
                <w:szCs w:val="24"/>
              </w:rPr>
              <w:t>70</w:t>
            </w:r>
          </w:p>
        </w:tc>
      </w:tr>
      <w:tr w:rsidR="00381E38" w:rsidRPr="00A37632" w:rsidTr="00F028A0">
        <w:trPr>
          <w:cantSplit/>
          <w:trHeight w:hRule="exact" w:val="576"/>
        </w:trPr>
        <w:tc>
          <w:tcPr>
            <w:tcW w:w="1561" w:type="dxa"/>
            <w:vAlign w:val="center"/>
          </w:tcPr>
          <w:p w:rsidR="0023752D" w:rsidRPr="00A37632" w:rsidRDefault="006C0AC8" w:rsidP="00F028A0">
            <w:pPr>
              <w:jc w:val="center"/>
              <w:rPr>
                <w:rFonts w:ascii="Arial" w:eastAsia="Calibri" w:hAnsi="Arial" w:cs="Arial"/>
                <w:sz w:val="18"/>
                <w:szCs w:val="18"/>
              </w:rPr>
            </w:pPr>
            <w:r>
              <w:rPr>
                <w:rFonts w:ascii="Arial" w:eastAsia="Calibri" w:hAnsi="Arial" w:cs="Arial"/>
                <w:sz w:val="18"/>
                <w:szCs w:val="18"/>
              </w:rPr>
              <w:t>W</w:t>
            </w:r>
            <w:r w:rsidR="00C25295" w:rsidRPr="00A37632">
              <w:rPr>
                <w:rFonts w:ascii="Arial" w:eastAsia="Calibri" w:hAnsi="Arial" w:cs="Arial"/>
                <w:sz w:val="18"/>
                <w:szCs w:val="18"/>
              </w:rPr>
              <w:t>ith</w:t>
            </w:r>
            <w:r w:rsidR="00C25295">
              <w:rPr>
                <w:rFonts w:ascii="Arial" w:eastAsia="Calibri" w:hAnsi="Arial" w:cs="Arial"/>
                <w:sz w:val="18"/>
                <w:szCs w:val="18"/>
              </w:rPr>
              <w:t xml:space="preserve"> </w:t>
            </w:r>
            <w:r w:rsidR="00F028A0">
              <w:rPr>
                <w:rFonts w:ascii="Arial" w:eastAsia="Calibri" w:hAnsi="Arial" w:cs="Arial"/>
                <w:sz w:val="18"/>
                <w:szCs w:val="18"/>
              </w:rPr>
              <w:t>Natural</w:t>
            </w:r>
            <w:r w:rsidR="00053011">
              <w:rPr>
                <w:rFonts w:ascii="Arial" w:eastAsia="Calibri" w:hAnsi="Arial" w:cs="Arial"/>
                <w:sz w:val="18"/>
                <w:szCs w:val="18"/>
              </w:rPr>
              <w:t xml:space="preserve"> </w:t>
            </w:r>
            <w:r w:rsidR="000642E1">
              <w:rPr>
                <w:rFonts w:ascii="Arial" w:eastAsia="Calibri" w:hAnsi="Arial" w:cs="Arial"/>
                <w:sz w:val="18"/>
                <w:szCs w:val="18"/>
              </w:rPr>
              <w:t>&amp;</w:t>
            </w:r>
            <w:r w:rsidR="00053011">
              <w:rPr>
                <w:rFonts w:ascii="Arial" w:eastAsia="Calibri" w:hAnsi="Arial" w:cs="Arial"/>
                <w:sz w:val="18"/>
                <w:szCs w:val="18"/>
              </w:rPr>
              <w:t xml:space="preserve"> </w:t>
            </w:r>
            <w:r w:rsidR="00F028A0">
              <w:rPr>
                <w:rFonts w:ascii="Arial" w:eastAsia="Calibri" w:hAnsi="Arial" w:cs="Arial"/>
                <w:sz w:val="18"/>
                <w:szCs w:val="18"/>
              </w:rPr>
              <w:t>Urban Warming</w:t>
            </w:r>
          </w:p>
        </w:tc>
        <w:tc>
          <w:tcPr>
            <w:tcW w:w="0" w:type="auto"/>
            <w:vAlign w:val="center"/>
          </w:tcPr>
          <w:p w:rsidR="0023752D" w:rsidRPr="007F4228" w:rsidRDefault="007F4228" w:rsidP="009415D8">
            <w:pPr>
              <w:jc w:val="center"/>
              <w:rPr>
                <w:rFonts w:ascii="Arial" w:eastAsia="Calibri" w:hAnsi="Arial" w:cs="Arial"/>
                <w:b/>
                <w:sz w:val="24"/>
                <w:szCs w:val="24"/>
              </w:rPr>
            </w:pPr>
            <w:r w:rsidRPr="007F4228">
              <w:rPr>
                <w:rFonts w:ascii="Arial" w:eastAsia="Calibri" w:hAnsi="Arial" w:cs="Arial"/>
                <w:b/>
                <w:sz w:val="24"/>
                <w:szCs w:val="24"/>
              </w:rPr>
              <w:t>1</w:t>
            </w:r>
            <w:r w:rsidR="00C25295" w:rsidRPr="007F4228">
              <w:rPr>
                <w:rFonts w:ascii="Arial" w:eastAsia="Calibri" w:hAnsi="Arial" w:cs="Arial"/>
                <w:b/>
                <w:sz w:val="24"/>
                <w:szCs w:val="24"/>
              </w:rPr>
              <w:t>.</w:t>
            </w:r>
            <w:r w:rsidRPr="007F4228">
              <w:rPr>
                <w:rFonts w:ascii="Arial" w:eastAsia="Calibri" w:hAnsi="Arial" w:cs="Arial"/>
                <w:b/>
                <w:sz w:val="24"/>
                <w:szCs w:val="24"/>
              </w:rPr>
              <w:t>0</w:t>
            </w:r>
            <w:r w:rsidR="009415D8">
              <w:rPr>
                <w:rFonts w:ascii="Arial" w:eastAsia="Calibri" w:hAnsi="Arial" w:cs="Arial"/>
                <w:b/>
                <w:sz w:val="24"/>
                <w:szCs w:val="24"/>
              </w:rPr>
              <w:t>4</w:t>
            </w:r>
          </w:p>
        </w:tc>
        <w:tc>
          <w:tcPr>
            <w:tcW w:w="1472" w:type="dxa"/>
            <w:vAlign w:val="center"/>
          </w:tcPr>
          <w:p w:rsidR="0023752D" w:rsidRPr="007F4228" w:rsidRDefault="00C25295" w:rsidP="009415D8">
            <w:pPr>
              <w:jc w:val="center"/>
              <w:rPr>
                <w:rFonts w:ascii="Arial" w:eastAsia="Calibri" w:hAnsi="Arial" w:cs="Arial"/>
                <w:b/>
                <w:sz w:val="24"/>
                <w:szCs w:val="24"/>
              </w:rPr>
            </w:pPr>
            <w:r w:rsidRPr="007F4228">
              <w:rPr>
                <w:rFonts w:ascii="Arial" w:eastAsia="Calibri" w:hAnsi="Arial" w:cs="Arial"/>
                <w:b/>
                <w:sz w:val="24"/>
                <w:szCs w:val="24"/>
              </w:rPr>
              <w:t>0.</w:t>
            </w:r>
            <w:r w:rsidR="00740A72" w:rsidRPr="007F4228">
              <w:rPr>
                <w:rFonts w:ascii="Arial" w:eastAsia="Calibri" w:hAnsi="Arial" w:cs="Arial"/>
                <w:b/>
                <w:sz w:val="24"/>
                <w:szCs w:val="24"/>
              </w:rPr>
              <w:t>7</w:t>
            </w:r>
            <w:r w:rsidR="009415D8">
              <w:rPr>
                <w:rFonts w:ascii="Arial" w:eastAsia="Calibri" w:hAnsi="Arial" w:cs="Arial"/>
                <w:b/>
                <w:sz w:val="24"/>
                <w:szCs w:val="24"/>
              </w:rPr>
              <w:t>6</w:t>
            </w:r>
            <w:r w:rsidRPr="007F4228">
              <w:rPr>
                <w:rFonts w:ascii="Arial" w:eastAsia="Calibri" w:hAnsi="Arial" w:cs="Arial"/>
                <w:b/>
                <w:sz w:val="24"/>
                <w:szCs w:val="24"/>
              </w:rPr>
              <w:t>-1.</w:t>
            </w:r>
            <w:r w:rsidR="009415D8">
              <w:rPr>
                <w:rFonts w:ascii="Arial" w:eastAsia="Calibri" w:hAnsi="Arial" w:cs="Arial"/>
                <w:b/>
                <w:sz w:val="24"/>
                <w:szCs w:val="24"/>
              </w:rPr>
              <w:t>39</w:t>
            </w:r>
          </w:p>
        </w:tc>
        <w:tc>
          <w:tcPr>
            <w:tcW w:w="1350" w:type="dxa"/>
            <w:vAlign w:val="center"/>
          </w:tcPr>
          <w:p w:rsidR="0023752D" w:rsidRPr="007F4228" w:rsidRDefault="00C25295" w:rsidP="009415D8">
            <w:pPr>
              <w:jc w:val="center"/>
              <w:rPr>
                <w:rFonts w:ascii="Arial" w:eastAsia="Calibri" w:hAnsi="Arial" w:cs="Arial"/>
                <w:b/>
                <w:sz w:val="24"/>
                <w:szCs w:val="24"/>
              </w:rPr>
            </w:pPr>
            <w:r w:rsidRPr="007F4228">
              <w:rPr>
                <w:rFonts w:ascii="Arial" w:eastAsia="Calibri" w:hAnsi="Arial" w:cs="Arial"/>
                <w:b/>
                <w:sz w:val="24"/>
                <w:szCs w:val="24"/>
              </w:rPr>
              <w:t>0.</w:t>
            </w:r>
            <w:r w:rsidR="00504788">
              <w:rPr>
                <w:rFonts w:ascii="Arial" w:eastAsia="Calibri" w:hAnsi="Arial" w:cs="Arial"/>
                <w:b/>
                <w:sz w:val="24"/>
                <w:szCs w:val="24"/>
              </w:rPr>
              <w:t>5</w:t>
            </w:r>
            <w:r w:rsidR="009415D8">
              <w:rPr>
                <w:rFonts w:ascii="Arial" w:eastAsia="Calibri" w:hAnsi="Arial" w:cs="Arial"/>
                <w:b/>
                <w:sz w:val="24"/>
                <w:szCs w:val="24"/>
              </w:rPr>
              <w:t>9</w:t>
            </w:r>
            <w:r w:rsidRPr="007F4228">
              <w:rPr>
                <w:rFonts w:ascii="Arial" w:eastAsia="Calibri" w:hAnsi="Arial" w:cs="Arial"/>
                <w:b/>
                <w:sz w:val="24"/>
                <w:szCs w:val="24"/>
              </w:rPr>
              <w:t>-1.</w:t>
            </w:r>
            <w:r w:rsidR="009415D8">
              <w:rPr>
                <w:rFonts w:ascii="Arial" w:eastAsia="Calibri" w:hAnsi="Arial" w:cs="Arial"/>
                <w:b/>
                <w:sz w:val="24"/>
                <w:szCs w:val="24"/>
              </w:rPr>
              <w:t>72</w:t>
            </w:r>
          </w:p>
        </w:tc>
        <w:tc>
          <w:tcPr>
            <w:tcW w:w="1260" w:type="dxa"/>
            <w:vAlign w:val="center"/>
          </w:tcPr>
          <w:p w:rsidR="0023752D" w:rsidRPr="007F4228" w:rsidRDefault="00C25295" w:rsidP="00912B05">
            <w:pPr>
              <w:jc w:val="center"/>
              <w:rPr>
                <w:rFonts w:ascii="Arial" w:eastAsia="Calibri" w:hAnsi="Arial" w:cs="Arial"/>
                <w:b/>
                <w:sz w:val="24"/>
                <w:szCs w:val="24"/>
              </w:rPr>
            </w:pPr>
            <w:r w:rsidRPr="007F4228">
              <w:rPr>
                <w:rFonts w:ascii="Arial" w:eastAsia="Calibri" w:hAnsi="Arial" w:cs="Arial"/>
                <w:b/>
                <w:sz w:val="24"/>
                <w:szCs w:val="24"/>
              </w:rPr>
              <w:t>0.</w:t>
            </w:r>
            <w:r w:rsidR="007E7D3F" w:rsidRPr="007F4228">
              <w:rPr>
                <w:rFonts w:ascii="Arial" w:eastAsia="Calibri" w:hAnsi="Arial" w:cs="Arial"/>
                <w:b/>
                <w:sz w:val="24"/>
                <w:szCs w:val="24"/>
              </w:rPr>
              <w:t>8</w:t>
            </w:r>
            <w:r w:rsidR="00A13A67">
              <w:rPr>
                <w:rFonts w:ascii="Arial" w:eastAsia="Calibri" w:hAnsi="Arial" w:cs="Arial"/>
                <w:b/>
                <w:sz w:val="24"/>
                <w:szCs w:val="24"/>
              </w:rPr>
              <w:t>3</w:t>
            </w:r>
          </w:p>
        </w:tc>
        <w:tc>
          <w:tcPr>
            <w:tcW w:w="1440" w:type="dxa"/>
            <w:vAlign w:val="center"/>
          </w:tcPr>
          <w:p w:rsidR="00C25295" w:rsidRPr="007F4228" w:rsidRDefault="00C25295" w:rsidP="009415D8">
            <w:pPr>
              <w:jc w:val="center"/>
              <w:rPr>
                <w:rFonts w:ascii="Arial" w:eastAsia="Calibri" w:hAnsi="Arial" w:cs="Arial"/>
                <w:b/>
                <w:sz w:val="24"/>
                <w:szCs w:val="24"/>
              </w:rPr>
            </w:pPr>
            <w:r w:rsidRPr="007F4228">
              <w:rPr>
                <w:rFonts w:ascii="Arial" w:eastAsia="Calibri" w:hAnsi="Arial" w:cs="Arial"/>
                <w:b/>
                <w:sz w:val="24"/>
                <w:szCs w:val="24"/>
              </w:rPr>
              <w:t>0.</w:t>
            </w:r>
            <w:r w:rsidR="00504788">
              <w:rPr>
                <w:rFonts w:ascii="Arial" w:eastAsia="Calibri" w:hAnsi="Arial" w:cs="Arial"/>
                <w:b/>
                <w:sz w:val="24"/>
                <w:szCs w:val="24"/>
              </w:rPr>
              <w:t>62</w:t>
            </w:r>
            <w:r w:rsidRPr="007F4228">
              <w:rPr>
                <w:rFonts w:ascii="Arial" w:eastAsia="Calibri" w:hAnsi="Arial" w:cs="Arial"/>
                <w:b/>
                <w:sz w:val="24"/>
                <w:szCs w:val="24"/>
              </w:rPr>
              <w:t>-1.</w:t>
            </w:r>
            <w:r w:rsidR="00504788">
              <w:rPr>
                <w:rFonts w:ascii="Arial" w:eastAsia="Calibri" w:hAnsi="Arial" w:cs="Arial"/>
                <w:b/>
                <w:sz w:val="24"/>
                <w:szCs w:val="24"/>
              </w:rPr>
              <w:t>0</w:t>
            </w:r>
            <w:r w:rsidR="009415D8">
              <w:rPr>
                <w:rFonts w:ascii="Arial" w:eastAsia="Calibri" w:hAnsi="Arial" w:cs="Arial"/>
                <w:b/>
                <w:sz w:val="24"/>
                <w:szCs w:val="24"/>
              </w:rPr>
              <w:t>7</w:t>
            </w:r>
          </w:p>
        </w:tc>
        <w:tc>
          <w:tcPr>
            <w:tcW w:w="1350" w:type="dxa"/>
            <w:vAlign w:val="center"/>
          </w:tcPr>
          <w:p w:rsidR="0023752D" w:rsidRPr="007F4228" w:rsidRDefault="00335ABA" w:rsidP="009415D8">
            <w:pPr>
              <w:jc w:val="center"/>
              <w:rPr>
                <w:rFonts w:ascii="Arial" w:eastAsia="Calibri" w:hAnsi="Arial" w:cs="Arial"/>
                <w:b/>
                <w:sz w:val="24"/>
                <w:szCs w:val="24"/>
              </w:rPr>
            </w:pPr>
            <w:r w:rsidRPr="007F4228">
              <w:rPr>
                <w:rFonts w:ascii="Arial" w:eastAsia="Calibri" w:hAnsi="Arial" w:cs="Arial"/>
                <w:b/>
                <w:sz w:val="24"/>
                <w:szCs w:val="24"/>
              </w:rPr>
              <w:t>0.</w:t>
            </w:r>
            <w:r w:rsidR="00504788">
              <w:rPr>
                <w:rFonts w:ascii="Arial" w:eastAsia="Calibri" w:hAnsi="Arial" w:cs="Arial"/>
                <w:b/>
                <w:sz w:val="24"/>
                <w:szCs w:val="24"/>
              </w:rPr>
              <w:t>4</w:t>
            </w:r>
            <w:r w:rsidR="009415D8">
              <w:rPr>
                <w:rFonts w:ascii="Arial" w:eastAsia="Calibri" w:hAnsi="Arial" w:cs="Arial"/>
                <w:b/>
                <w:sz w:val="24"/>
                <w:szCs w:val="24"/>
              </w:rPr>
              <w:t>9</w:t>
            </w:r>
            <w:r w:rsidRPr="007F4228">
              <w:rPr>
                <w:rFonts w:ascii="Arial" w:eastAsia="Calibri" w:hAnsi="Arial" w:cs="Arial"/>
                <w:b/>
                <w:sz w:val="24"/>
                <w:szCs w:val="24"/>
              </w:rPr>
              <w:t>-1.</w:t>
            </w:r>
            <w:r w:rsidR="00504788">
              <w:rPr>
                <w:rFonts w:ascii="Arial" w:eastAsia="Calibri" w:hAnsi="Arial" w:cs="Arial"/>
                <w:b/>
                <w:sz w:val="24"/>
                <w:szCs w:val="24"/>
              </w:rPr>
              <w:t>2</w:t>
            </w:r>
            <w:r w:rsidR="009415D8">
              <w:rPr>
                <w:rFonts w:ascii="Arial" w:eastAsia="Calibri" w:hAnsi="Arial" w:cs="Arial"/>
                <w:b/>
                <w:sz w:val="24"/>
                <w:szCs w:val="24"/>
              </w:rPr>
              <w:t>8</w:t>
            </w:r>
          </w:p>
        </w:tc>
      </w:tr>
    </w:tbl>
    <w:p w:rsidR="009C2384" w:rsidRDefault="009C2384" w:rsidP="00F92BB1">
      <w:pPr>
        <w:jc w:val="both"/>
        <w:rPr>
          <w:rFonts w:ascii="Arial" w:eastAsia="Calibri" w:hAnsi="Arial" w:cs="Arial"/>
          <w:sz w:val="22"/>
          <w:szCs w:val="22"/>
        </w:rPr>
      </w:pPr>
    </w:p>
    <w:p w:rsidR="00832663" w:rsidRDefault="00832663" w:rsidP="00F92BB1">
      <w:pPr>
        <w:jc w:val="both"/>
        <w:rPr>
          <w:rFonts w:ascii="Arial" w:eastAsia="Calibri" w:hAnsi="Arial" w:cs="Arial"/>
          <w:sz w:val="22"/>
          <w:szCs w:val="22"/>
        </w:rPr>
      </w:pPr>
      <w:r w:rsidRPr="00832663">
        <w:rPr>
          <w:rFonts w:ascii="Arial" w:eastAsia="Calibri" w:hAnsi="Arial" w:cs="Arial"/>
          <w:sz w:val="22"/>
          <w:szCs w:val="22"/>
        </w:rPr>
        <w:t xml:space="preserve">Table </w:t>
      </w:r>
      <w:r w:rsidR="004A6E50">
        <w:rPr>
          <w:rFonts w:ascii="Arial" w:eastAsia="Calibri" w:hAnsi="Arial" w:cs="Arial"/>
          <w:sz w:val="22"/>
          <w:szCs w:val="22"/>
        </w:rPr>
        <w:t>2</w:t>
      </w:r>
      <w:r w:rsidRPr="00832663">
        <w:rPr>
          <w:rFonts w:ascii="Arial" w:eastAsia="Calibri" w:hAnsi="Arial" w:cs="Arial"/>
          <w:sz w:val="22"/>
          <w:szCs w:val="22"/>
        </w:rPr>
        <w:t xml:space="preserve"> summarizes the ECS and the TCR best estimate</w:t>
      </w:r>
      <w:r w:rsidR="00EF75A2">
        <w:rPr>
          <w:rFonts w:ascii="Arial" w:eastAsia="Calibri" w:hAnsi="Arial" w:cs="Arial"/>
          <w:sz w:val="22"/>
          <w:szCs w:val="22"/>
        </w:rPr>
        <w:t xml:space="preserve"> (median)</w:t>
      </w:r>
      <w:r w:rsidRPr="00832663">
        <w:rPr>
          <w:rFonts w:ascii="Arial" w:eastAsia="Calibri" w:hAnsi="Arial" w:cs="Arial"/>
          <w:sz w:val="22"/>
          <w:szCs w:val="22"/>
        </w:rPr>
        <w:t xml:space="preserve">, likely and </w:t>
      </w:r>
      <w:r w:rsidR="00EF75A2">
        <w:rPr>
          <w:rFonts w:ascii="Arial" w:eastAsia="Calibri" w:hAnsi="Arial" w:cs="Arial"/>
          <w:sz w:val="22"/>
          <w:szCs w:val="22"/>
        </w:rPr>
        <w:t>very</w:t>
      </w:r>
      <w:r w:rsidRPr="00832663">
        <w:rPr>
          <w:rFonts w:ascii="Arial" w:eastAsia="Calibri" w:hAnsi="Arial" w:cs="Arial"/>
          <w:sz w:val="22"/>
          <w:szCs w:val="22"/>
        </w:rPr>
        <w:t xml:space="preserve"> likely confidence intervals (CI) for 3 cases. All forcing-based estimates use initial and final periods of 1869-1882 and 2007-2017, respectively. The IPCC and LC2018 ranges are to the nearest 0.05°C.</w:t>
      </w:r>
    </w:p>
    <w:p w:rsidR="00C8544C" w:rsidRDefault="007C7C74" w:rsidP="00F92BB1">
      <w:pPr>
        <w:jc w:val="both"/>
        <w:rPr>
          <w:rFonts w:ascii="Arial" w:eastAsia="Calibri" w:hAnsi="Arial" w:cs="Arial"/>
          <w:sz w:val="22"/>
          <w:szCs w:val="22"/>
        </w:rPr>
      </w:pPr>
      <w:r>
        <w:rPr>
          <w:rFonts w:ascii="Arial" w:eastAsia="Calibri" w:hAnsi="Arial" w:cs="Arial"/>
          <w:sz w:val="22"/>
          <w:szCs w:val="22"/>
        </w:rPr>
        <w:t>LC2018 discussed revising the lower bound of aerosol forcing from that used in AR5 in light of new estimates.</w:t>
      </w:r>
      <w:r w:rsidR="00AE2880">
        <w:rPr>
          <w:rFonts w:ascii="Arial" w:eastAsia="Calibri" w:hAnsi="Arial" w:cs="Arial"/>
          <w:sz w:val="22"/>
          <w:szCs w:val="22"/>
        </w:rPr>
        <w:t xml:space="preserve"> AR5 estimated the aerosol lower bound </w:t>
      </w:r>
      <w:proofErr w:type="gramStart"/>
      <w:r w:rsidR="00AE2880">
        <w:rPr>
          <w:rFonts w:ascii="Arial" w:eastAsia="Calibri" w:hAnsi="Arial" w:cs="Arial"/>
          <w:sz w:val="22"/>
          <w:szCs w:val="22"/>
        </w:rPr>
        <w:t>at -1.9 W/m</w:t>
      </w:r>
      <w:r w:rsidR="00AE2880" w:rsidRPr="00AE2880">
        <w:rPr>
          <w:rFonts w:ascii="Arial" w:eastAsia="Calibri" w:hAnsi="Arial" w:cs="Arial"/>
          <w:sz w:val="22"/>
          <w:szCs w:val="22"/>
          <w:vertAlign w:val="superscript"/>
        </w:rPr>
        <w:t>2</w:t>
      </w:r>
      <w:proofErr w:type="gramEnd"/>
      <w:r w:rsidR="00AE2880">
        <w:rPr>
          <w:rFonts w:ascii="Arial" w:eastAsia="Calibri" w:hAnsi="Arial" w:cs="Arial"/>
          <w:sz w:val="22"/>
          <w:szCs w:val="22"/>
        </w:rPr>
        <w:t xml:space="preserve">. </w:t>
      </w:r>
      <w:r>
        <w:rPr>
          <w:rFonts w:ascii="Arial" w:eastAsia="Calibri" w:hAnsi="Arial" w:cs="Arial"/>
          <w:sz w:val="22"/>
          <w:szCs w:val="22"/>
        </w:rPr>
        <w:t>The authors wrote “</w:t>
      </w:r>
      <w:r w:rsidR="00AE2880" w:rsidRPr="00AE2880">
        <w:rPr>
          <w:rFonts w:ascii="Arial" w:eastAsia="Calibri" w:hAnsi="Arial" w:cs="Arial"/>
          <w:sz w:val="22"/>
          <w:szCs w:val="22"/>
        </w:rPr>
        <w:t>Stevens (2015) presented several</w:t>
      </w:r>
      <w:r w:rsidR="00AE2880">
        <w:rPr>
          <w:rFonts w:ascii="Arial" w:eastAsia="Calibri" w:hAnsi="Arial" w:cs="Arial"/>
          <w:sz w:val="22"/>
          <w:szCs w:val="22"/>
        </w:rPr>
        <w:t xml:space="preserve"> </w:t>
      </w:r>
      <w:r w:rsidR="00AE2880" w:rsidRPr="00AE2880">
        <w:rPr>
          <w:rFonts w:ascii="Arial" w:eastAsia="Calibri" w:hAnsi="Arial" w:cs="Arial"/>
          <w:sz w:val="22"/>
          <w:szCs w:val="22"/>
        </w:rPr>
        <w:t>observationally-based arguments that total aerosol forcing since preindustrial was weak, and could not be stronger than −1.0 Wm</w:t>
      </w:r>
      <w:r w:rsidR="00AE2880" w:rsidRPr="00AE2880">
        <w:rPr>
          <w:rFonts w:ascii="Arial" w:eastAsia="Calibri" w:hAnsi="Arial" w:cs="Arial"/>
          <w:sz w:val="22"/>
          <w:szCs w:val="22"/>
          <w:vertAlign w:val="superscript"/>
        </w:rPr>
        <w:t>−2</w:t>
      </w:r>
      <w:r w:rsidR="00AE2880">
        <w:rPr>
          <w:rFonts w:ascii="Arial" w:eastAsia="Calibri" w:hAnsi="Arial" w:cs="Arial"/>
          <w:sz w:val="22"/>
          <w:szCs w:val="22"/>
        </w:rPr>
        <w:t>.</w:t>
      </w:r>
      <w:r w:rsidR="00C8544C">
        <w:rPr>
          <w:rFonts w:ascii="Arial" w:eastAsia="Calibri" w:hAnsi="Arial" w:cs="Arial"/>
          <w:sz w:val="22"/>
          <w:szCs w:val="22"/>
        </w:rPr>
        <w:t>”</w:t>
      </w:r>
      <w:r w:rsidR="00AE2880">
        <w:rPr>
          <w:rFonts w:ascii="Arial" w:eastAsia="Calibri" w:hAnsi="Arial" w:cs="Arial"/>
          <w:sz w:val="22"/>
          <w:szCs w:val="22"/>
        </w:rPr>
        <w:t xml:space="preserve"> The paper noted several other studies supporting the Stevens</w:t>
      </w:r>
      <w:r w:rsidR="00C8544C">
        <w:rPr>
          <w:rFonts w:ascii="Arial" w:eastAsia="Calibri" w:hAnsi="Arial" w:cs="Arial"/>
          <w:sz w:val="22"/>
          <w:szCs w:val="22"/>
        </w:rPr>
        <w:t>’</w:t>
      </w:r>
      <w:r w:rsidR="00AE2880">
        <w:rPr>
          <w:rFonts w:ascii="Arial" w:eastAsia="Calibri" w:hAnsi="Arial" w:cs="Arial"/>
          <w:sz w:val="22"/>
          <w:szCs w:val="22"/>
        </w:rPr>
        <w:t xml:space="preserve"> result. However, LC2018 chose to </w:t>
      </w:r>
      <w:r w:rsidR="00AE2880" w:rsidRPr="00AE2880">
        <w:rPr>
          <w:rFonts w:ascii="Arial" w:eastAsia="Calibri" w:hAnsi="Arial" w:cs="Arial"/>
          <w:sz w:val="22"/>
          <w:szCs w:val="22"/>
        </w:rPr>
        <w:t xml:space="preserve">weaken </w:t>
      </w:r>
      <w:r w:rsidR="00AE2880">
        <w:rPr>
          <w:rFonts w:ascii="Arial" w:eastAsia="Calibri" w:hAnsi="Arial" w:cs="Arial"/>
          <w:sz w:val="22"/>
          <w:szCs w:val="22"/>
        </w:rPr>
        <w:t>the negative aerosol forcing only</w:t>
      </w:r>
      <w:r w:rsidR="00AE2880" w:rsidRPr="00AE2880">
        <w:rPr>
          <w:rFonts w:ascii="Arial" w:eastAsia="Calibri" w:hAnsi="Arial" w:cs="Arial"/>
          <w:sz w:val="22"/>
          <w:szCs w:val="22"/>
        </w:rPr>
        <w:t xml:space="preserve"> slightly to −1.7 W</w:t>
      </w:r>
      <w:r w:rsidR="00AE2880">
        <w:rPr>
          <w:rFonts w:ascii="Arial" w:eastAsia="Calibri" w:hAnsi="Arial" w:cs="Arial"/>
          <w:sz w:val="22"/>
          <w:szCs w:val="22"/>
        </w:rPr>
        <w:t>/</w:t>
      </w:r>
      <w:r w:rsidR="00AE2880" w:rsidRPr="00AE2880">
        <w:rPr>
          <w:rFonts w:ascii="Arial" w:eastAsia="Calibri" w:hAnsi="Arial" w:cs="Arial"/>
          <w:sz w:val="22"/>
          <w:szCs w:val="22"/>
        </w:rPr>
        <w:t>m</w:t>
      </w:r>
      <w:r w:rsidR="00AE2880" w:rsidRPr="00832663">
        <w:rPr>
          <w:rFonts w:ascii="Arial" w:eastAsia="Calibri" w:hAnsi="Arial" w:cs="Arial"/>
          <w:sz w:val="22"/>
          <w:szCs w:val="22"/>
          <w:vertAlign w:val="superscript"/>
        </w:rPr>
        <w:t>2</w:t>
      </w:r>
      <w:r w:rsidR="00AE2880">
        <w:rPr>
          <w:rFonts w:ascii="Arial" w:eastAsia="Calibri" w:hAnsi="Arial" w:cs="Arial"/>
          <w:sz w:val="22"/>
          <w:szCs w:val="22"/>
        </w:rPr>
        <w:t xml:space="preserve"> which is still far lower than recommended by Stevens (2015). Using the Stevens’ recommended lower bound would reduce the ECS estimates. </w:t>
      </w:r>
      <w:r w:rsidR="00F51E46">
        <w:rPr>
          <w:rFonts w:ascii="Arial" w:eastAsia="Calibri" w:hAnsi="Arial" w:cs="Arial"/>
          <w:sz w:val="22"/>
          <w:szCs w:val="22"/>
        </w:rPr>
        <w:t>The corrected median estimates of TCR and ECS both were reduced by 31% compared to that of LC2018.</w:t>
      </w:r>
    </w:p>
    <w:p w:rsidR="009C2384" w:rsidRDefault="009C2384" w:rsidP="00F92BB1">
      <w:pPr>
        <w:jc w:val="both"/>
        <w:rPr>
          <w:rFonts w:ascii="Arial" w:eastAsia="Calibri" w:hAnsi="Arial" w:cs="Arial"/>
          <w:sz w:val="22"/>
          <w:szCs w:val="22"/>
        </w:rPr>
      </w:pPr>
    </w:p>
    <w:p w:rsidR="009C2384" w:rsidRDefault="009C2384" w:rsidP="00F92BB1">
      <w:pPr>
        <w:jc w:val="both"/>
        <w:rPr>
          <w:rFonts w:ascii="Arial" w:eastAsia="Calibri" w:hAnsi="Arial" w:cs="Arial"/>
          <w:sz w:val="22"/>
          <w:szCs w:val="22"/>
        </w:rPr>
      </w:pPr>
    </w:p>
    <w:p w:rsidR="009C2384" w:rsidRDefault="009C2384" w:rsidP="00F92BB1">
      <w:pPr>
        <w:jc w:val="both"/>
        <w:rPr>
          <w:rFonts w:ascii="Arial" w:eastAsia="Calibri" w:hAnsi="Arial" w:cs="Arial"/>
          <w:sz w:val="22"/>
          <w:szCs w:val="22"/>
        </w:rPr>
      </w:pPr>
    </w:p>
    <w:p w:rsidR="009C2384" w:rsidRDefault="009C2384" w:rsidP="00F92BB1">
      <w:pPr>
        <w:jc w:val="both"/>
        <w:rPr>
          <w:rFonts w:ascii="Arial" w:eastAsia="Calibri" w:hAnsi="Arial" w:cs="Arial"/>
          <w:sz w:val="22"/>
          <w:szCs w:val="22"/>
        </w:rPr>
      </w:pPr>
    </w:p>
    <w:p w:rsidR="009C2384" w:rsidRDefault="009C2384" w:rsidP="00F92BB1">
      <w:pPr>
        <w:jc w:val="both"/>
        <w:rPr>
          <w:rFonts w:ascii="Arial" w:eastAsia="Calibri" w:hAnsi="Arial" w:cs="Arial"/>
          <w:sz w:val="22"/>
          <w:szCs w:val="22"/>
        </w:rPr>
      </w:pPr>
    </w:p>
    <w:p w:rsidR="00B47730" w:rsidRDefault="00A13A67" w:rsidP="00F92BB1">
      <w:pPr>
        <w:jc w:val="both"/>
        <w:rPr>
          <w:rFonts w:ascii="Arial" w:eastAsia="Calibri" w:hAnsi="Arial" w:cs="Arial"/>
          <w:b/>
          <w:sz w:val="28"/>
          <w:szCs w:val="28"/>
        </w:rPr>
      </w:pPr>
      <w:r w:rsidRPr="00A13A67">
        <w:rPr>
          <w:rFonts w:ascii="Arial" w:eastAsia="Calibri" w:hAnsi="Arial" w:cs="Arial"/>
          <w:b/>
          <w:sz w:val="28"/>
          <w:szCs w:val="28"/>
        </w:rPr>
        <w:lastRenderedPageBreak/>
        <w:t>Uncertainty Estimates</w:t>
      </w:r>
    </w:p>
    <w:p w:rsidR="00B47730" w:rsidRDefault="009C2384" w:rsidP="00F92BB1">
      <w:pPr>
        <w:jc w:val="both"/>
        <w:rPr>
          <w:rFonts w:ascii="Arial" w:eastAsia="Calibri" w:hAnsi="Arial" w:cs="Arial"/>
          <w:sz w:val="22"/>
          <w:szCs w:val="22"/>
        </w:rPr>
      </w:pPr>
      <w:r w:rsidRPr="00DD77D0">
        <w:rPr>
          <w:rFonts w:ascii="Arial" w:eastAsia="Calibri" w:hAnsi="Arial" w:cs="Arial"/>
          <w:sz w:val="22"/>
          <w:szCs w:val="22"/>
        </w:rPr>
        <w:t>The LC2018</w:t>
      </w:r>
      <w:r>
        <w:rPr>
          <w:rFonts w:ascii="Arial" w:eastAsia="Calibri" w:hAnsi="Arial" w:cs="Arial"/>
          <w:sz w:val="22"/>
          <w:szCs w:val="22"/>
        </w:rPr>
        <w:t xml:space="preserve"> study reported best estimates (median at 50% cumulative probability), likely 17-83% confidence intervals (CI) and very likely 5-95% CIs.</w:t>
      </w:r>
      <w:r w:rsidR="00C8544C" w:rsidRPr="005F2D7D">
        <w:rPr>
          <w:rFonts w:ascii="Arial" w:eastAsia="Calibri" w:hAnsi="Arial" w:cs="Arial"/>
          <w:noProof/>
          <w:sz w:val="22"/>
          <w:szCs w:val="22"/>
          <w:lang w:eastAsia="en-US"/>
        </w:rPr>
        <mc:AlternateContent>
          <mc:Choice Requires="wps">
            <w:drawing>
              <wp:anchor distT="0" distB="0" distL="114300" distR="114300" simplePos="0" relativeHeight="251661312" behindDoc="0" locked="0" layoutInCell="1" allowOverlap="1" wp14:anchorId="3932F384" wp14:editId="72B4D588">
                <wp:simplePos x="0" y="0"/>
                <wp:positionH relativeFrom="column">
                  <wp:posOffset>-10795</wp:posOffset>
                </wp:positionH>
                <wp:positionV relativeFrom="paragraph">
                  <wp:posOffset>5715</wp:posOffset>
                </wp:positionV>
                <wp:extent cx="3476625" cy="3076575"/>
                <wp:effectExtent l="0" t="0" r="28575"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3076575"/>
                        </a:xfrm>
                        <a:prstGeom prst="rect">
                          <a:avLst/>
                        </a:prstGeom>
                        <a:solidFill>
                          <a:srgbClr val="FFFFFF"/>
                        </a:solidFill>
                        <a:ln w="9525">
                          <a:solidFill>
                            <a:srgbClr val="000000"/>
                          </a:solidFill>
                          <a:miter lim="800000"/>
                          <a:headEnd/>
                          <a:tailEnd/>
                        </a:ln>
                      </wps:spPr>
                      <wps:txbx>
                        <w:txbxContent>
                          <w:p w:rsidR="00AE2880" w:rsidRDefault="008511F2">
                            <w:r>
                              <w:rPr>
                                <w:noProof/>
                                <w:lang w:eastAsia="en-US"/>
                              </w:rPr>
                              <w:drawing>
                                <wp:inline distT="0" distB="0" distL="0" distR="0">
                                  <wp:extent cx="3381154" cy="249865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S-PDF-LC2018-corr-UHIE-MW.jpg"/>
                                          <pic:cNvPicPr/>
                                        </pic:nvPicPr>
                                        <pic:blipFill>
                                          <a:blip r:embed="rId16">
                                            <a:extLst>
                                              <a:ext uri="{28A0092B-C50C-407E-A947-70E740481C1C}">
                                                <a14:useLocalDpi xmlns:a14="http://schemas.microsoft.com/office/drawing/2010/main" val="0"/>
                                              </a:ext>
                                            </a:extLst>
                                          </a:blip>
                                          <a:stretch>
                                            <a:fillRect/>
                                          </a:stretch>
                                        </pic:blipFill>
                                        <pic:spPr>
                                          <a:xfrm>
                                            <a:off x="0" y="0"/>
                                            <a:ext cx="3380308" cy="2498026"/>
                                          </a:xfrm>
                                          <a:prstGeom prst="rect">
                                            <a:avLst/>
                                          </a:prstGeom>
                                        </pic:spPr>
                                      </pic:pic>
                                    </a:graphicData>
                                  </a:graphic>
                                </wp:inline>
                              </w:drawing>
                            </w:r>
                          </w:p>
                          <w:p w:rsidR="00AE2880" w:rsidRPr="00504788" w:rsidRDefault="00AE2880">
                            <w:pPr>
                              <w:rPr>
                                <w:rFonts w:ascii="Arial" w:hAnsi="Arial" w:cs="Arial"/>
                                <w:sz w:val="22"/>
                                <w:szCs w:val="22"/>
                              </w:rPr>
                            </w:pPr>
                            <w:proofErr w:type="gramStart"/>
                            <w:r>
                              <w:rPr>
                                <w:rFonts w:ascii="Arial" w:hAnsi="Arial" w:cs="Arial"/>
                                <w:sz w:val="22"/>
                                <w:szCs w:val="22"/>
                              </w:rPr>
                              <w:t xml:space="preserve">Figure </w:t>
                            </w:r>
                            <w:r w:rsidR="004A6E50">
                              <w:rPr>
                                <w:rFonts w:ascii="Arial" w:hAnsi="Arial" w:cs="Arial"/>
                                <w:sz w:val="22"/>
                                <w:szCs w:val="22"/>
                              </w:rPr>
                              <w:t>5</w:t>
                            </w:r>
                            <w:r>
                              <w:rPr>
                                <w:rFonts w:ascii="Arial" w:hAnsi="Arial" w:cs="Arial"/>
                                <w:sz w:val="22"/>
                                <w:szCs w:val="22"/>
                              </w:rPr>
                              <w:t>.</w:t>
                            </w:r>
                            <w:proofErr w:type="gramEnd"/>
                            <w:r>
                              <w:rPr>
                                <w:rFonts w:ascii="Arial" w:hAnsi="Arial" w:cs="Arial"/>
                                <w:sz w:val="22"/>
                                <w:szCs w:val="22"/>
                              </w:rPr>
                              <w:t xml:space="preserve">  </w:t>
                            </w:r>
                            <w:r w:rsidRPr="00504788">
                              <w:rPr>
                                <w:rFonts w:ascii="Arial" w:hAnsi="Arial" w:cs="Arial"/>
                                <w:sz w:val="22"/>
                                <w:szCs w:val="22"/>
                              </w:rPr>
                              <w:t>LC2018 ECS adjusted by UHIE and millennium warming</w:t>
                            </w:r>
                            <w:r>
                              <w:rPr>
                                <w:rFonts w:ascii="Arial" w:hAnsi="Arial" w:cs="Arial"/>
                                <w:sz w:val="22"/>
                                <w:szCs w:val="22"/>
                              </w:rPr>
                              <w:t xml:space="preserve"> (red), and LC2018 (blue)</w:t>
                            </w:r>
                            <w:r w:rsidRPr="00504788">
                              <w:rPr>
                                <w:rFonts w:ascii="Arial" w:hAnsi="Arial" w:cs="Arial"/>
                                <w:sz w:val="22"/>
                                <w:szCs w:val="22"/>
                              </w:rPr>
                              <w:t>.</w:t>
                            </w:r>
                            <w:r>
                              <w:rPr>
                                <w:rFonts w:ascii="Arial" w:hAnsi="Arial" w:cs="Arial"/>
                                <w:sz w:val="22"/>
                                <w:szCs w:val="2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left:0;text-align:left;margin-left:-.85pt;margin-top:.45pt;width:273.75pt;height:24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">
                <v:textbox>
                  <w:txbxContent>
                    <w:p w:rsidR="00AE2880" w:rsidRDefault="008511F2">
                      <w:r>
                        <w:rPr>
                          <w:noProof/>
                          <w:lang w:eastAsia="en-US"/>
                        </w:rPr>
                        <w:drawing>
                          <wp:inline distT="0" distB="0" distL="0" distR="0">
                            <wp:extent cx="3381154" cy="249865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S-PDF-LC2018-corr-UHIE-MW.jpg"/>
                                    <pic:cNvPicPr/>
                                  </pic:nvPicPr>
                                  <pic:blipFill>
                                    <a:blip r:embed="rId17">
                                      <a:extLst>
                                        <a:ext uri="{28A0092B-C50C-407E-A947-70E740481C1C}">
                                          <a14:useLocalDpi xmlns:a14="http://schemas.microsoft.com/office/drawing/2010/main" val="0"/>
                                        </a:ext>
                                      </a:extLst>
                                    </a:blip>
                                    <a:stretch>
                                      <a:fillRect/>
                                    </a:stretch>
                                  </pic:blipFill>
                                  <pic:spPr>
                                    <a:xfrm>
                                      <a:off x="0" y="0"/>
                                      <a:ext cx="3380308" cy="2498026"/>
                                    </a:xfrm>
                                    <a:prstGeom prst="rect">
                                      <a:avLst/>
                                    </a:prstGeom>
                                  </pic:spPr>
                                </pic:pic>
                              </a:graphicData>
                            </a:graphic>
                          </wp:inline>
                        </w:drawing>
                      </w:r>
                    </w:p>
                    <w:p w:rsidR="00AE2880" w:rsidRPr="00504788" w:rsidRDefault="00AE2880">
                      <w:pPr>
                        <w:rPr>
                          <w:rFonts w:ascii="Arial" w:hAnsi="Arial" w:cs="Arial"/>
                          <w:sz w:val="22"/>
                          <w:szCs w:val="22"/>
                        </w:rPr>
                      </w:pPr>
                      <w:proofErr w:type="gramStart"/>
                      <w:r>
                        <w:rPr>
                          <w:rFonts w:ascii="Arial" w:hAnsi="Arial" w:cs="Arial"/>
                          <w:sz w:val="22"/>
                          <w:szCs w:val="22"/>
                        </w:rPr>
                        <w:t xml:space="preserve">Figure </w:t>
                      </w:r>
                      <w:r w:rsidR="004A6E50">
                        <w:rPr>
                          <w:rFonts w:ascii="Arial" w:hAnsi="Arial" w:cs="Arial"/>
                          <w:sz w:val="22"/>
                          <w:szCs w:val="22"/>
                        </w:rPr>
                        <w:t>5</w:t>
                      </w:r>
                      <w:r>
                        <w:rPr>
                          <w:rFonts w:ascii="Arial" w:hAnsi="Arial" w:cs="Arial"/>
                          <w:sz w:val="22"/>
                          <w:szCs w:val="22"/>
                        </w:rPr>
                        <w:t>.</w:t>
                      </w:r>
                      <w:proofErr w:type="gramEnd"/>
                      <w:r>
                        <w:rPr>
                          <w:rFonts w:ascii="Arial" w:hAnsi="Arial" w:cs="Arial"/>
                          <w:sz w:val="22"/>
                          <w:szCs w:val="22"/>
                        </w:rPr>
                        <w:t xml:space="preserve">  </w:t>
                      </w:r>
                      <w:r w:rsidRPr="00504788">
                        <w:rPr>
                          <w:rFonts w:ascii="Arial" w:hAnsi="Arial" w:cs="Arial"/>
                          <w:sz w:val="22"/>
                          <w:szCs w:val="22"/>
                        </w:rPr>
                        <w:t>LC2018 ECS adjusted by UHIE and millennium warming</w:t>
                      </w:r>
                      <w:r>
                        <w:rPr>
                          <w:rFonts w:ascii="Arial" w:hAnsi="Arial" w:cs="Arial"/>
                          <w:sz w:val="22"/>
                          <w:szCs w:val="22"/>
                        </w:rPr>
                        <w:t xml:space="preserve"> (red), and LC2018 (blue)</w:t>
                      </w:r>
                      <w:r w:rsidRPr="00504788">
                        <w:rPr>
                          <w:rFonts w:ascii="Arial" w:hAnsi="Arial" w:cs="Arial"/>
                          <w:sz w:val="22"/>
                          <w:szCs w:val="22"/>
                        </w:rPr>
                        <w:t>.</w:t>
                      </w:r>
                      <w:r>
                        <w:rPr>
                          <w:rFonts w:ascii="Arial" w:hAnsi="Arial" w:cs="Arial"/>
                          <w:sz w:val="22"/>
                          <w:szCs w:val="22"/>
                        </w:rPr>
                        <w:t xml:space="preserve"> </w:t>
                      </w:r>
                    </w:p>
                  </w:txbxContent>
                </v:textbox>
                <w10:wrap type="square"/>
              </v:shape>
            </w:pict>
          </mc:Fallback>
        </mc:AlternateContent>
      </w:r>
      <w:r>
        <w:rPr>
          <w:rFonts w:ascii="Arial" w:eastAsia="Calibri" w:hAnsi="Arial" w:cs="Arial"/>
          <w:sz w:val="22"/>
          <w:szCs w:val="22"/>
        </w:rPr>
        <w:t xml:space="preserve"> </w:t>
      </w:r>
      <w:r w:rsidR="00DD77D0">
        <w:rPr>
          <w:rFonts w:ascii="Arial" w:eastAsia="Calibri" w:hAnsi="Arial" w:cs="Arial"/>
          <w:sz w:val="22"/>
          <w:szCs w:val="22"/>
        </w:rPr>
        <w:t xml:space="preserve">Using the </w:t>
      </w:r>
      <w:r w:rsidR="00C8544C">
        <w:rPr>
          <w:rFonts w:ascii="Arial" w:eastAsia="Calibri" w:hAnsi="Arial" w:cs="Arial"/>
          <w:sz w:val="22"/>
          <w:szCs w:val="22"/>
        </w:rPr>
        <w:t>CIs</w:t>
      </w:r>
      <w:r w:rsidR="00DD77D0">
        <w:rPr>
          <w:rFonts w:ascii="Arial" w:eastAsia="Calibri" w:hAnsi="Arial" w:cs="Arial"/>
          <w:sz w:val="22"/>
          <w:szCs w:val="22"/>
        </w:rPr>
        <w:t xml:space="preserve"> given in the paper, the probability density function (PDF) of the estimated ECS was replicated. </w:t>
      </w:r>
      <w:r w:rsidR="002A12D3">
        <w:rPr>
          <w:rFonts w:ascii="Arial" w:eastAsia="Calibri" w:hAnsi="Arial" w:cs="Arial"/>
          <w:sz w:val="22"/>
          <w:szCs w:val="22"/>
        </w:rPr>
        <w:t xml:space="preserve">The forcing of </w:t>
      </w:r>
      <w:r w:rsidR="001077C5">
        <w:rPr>
          <w:rFonts w:ascii="Arial" w:eastAsia="Calibri" w:hAnsi="Arial" w:cs="Arial"/>
          <w:sz w:val="22"/>
          <w:szCs w:val="22"/>
        </w:rPr>
        <w:t xml:space="preserve">a </w:t>
      </w:r>
      <w:r w:rsidR="002A12D3">
        <w:rPr>
          <w:rFonts w:ascii="Arial" w:eastAsia="Calibri" w:hAnsi="Arial" w:cs="Arial"/>
          <w:sz w:val="22"/>
          <w:szCs w:val="22"/>
        </w:rPr>
        <w:t>doubl</w:t>
      </w:r>
      <w:r w:rsidR="001077C5">
        <w:rPr>
          <w:rFonts w:ascii="Arial" w:eastAsia="Calibri" w:hAnsi="Arial" w:cs="Arial"/>
          <w:sz w:val="22"/>
          <w:szCs w:val="22"/>
        </w:rPr>
        <w:t>ing of</w:t>
      </w:r>
      <w:r w:rsidR="002A12D3">
        <w:rPr>
          <w:rFonts w:ascii="Arial" w:eastAsia="Calibri" w:hAnsi="Arial" w:cs="Arial"/>
          <w:sz w:val="22"/>
          <w:szCs w:val="22"/>
        </w:rPr>
        <w:t xml:space="preserve"> CO</w:t>
      </w:r>
      <w:r w:rsidR="002A12D3" w:rsidRPr="002A12D3">
        <w:rPr>
          <w:rFonts w:ascii="Arial" w:eastAsia="Calibri" w:hAnsi="Arial" w:cs="Arial"/>
          <w:sz w:val="22"/>
          <w:szCs w:val="22"/>
          <w:vertAlign w:val="subscript"/>
        </w:rPr>
        <w:t>2</w:t>
      </w:r>
      <w:r w:rsidR="002A12D3">
        <w:rPr>
          <w:rFonts w:ascii="Arial" w:eastAsia="Calibri" w:hAnsi="Arial" w:cs="Arial"/>
          <w:sz w:val="22"/>
          <w:szCs w:val="22"/>
        </w:rPr>
        <w:t xml:space="preserve"> </w:t>
      </w:r>
      <w:r w:rsidR="00C177AF">
        <w:rPr>
          <w:rFonts w:ascii="Arial" w:eastAsia="Calibri" w:hAnsi="Arial" w:cs="Arial"/>
          <w:sz w:val="22"/>
          <w:szCs w:val="22"/>
        </w:rPr>
        <w:t>is</w:t>
      </w:r>
      <w:r w:rsidR="002A12D3">
        <w:rPr>
          <w:rFonts w:ascii="Arial" w:eastAsia="Calibri" w:hAnsi="Arial" w:cs="Arial"/>
          <w:sz w:val="22"/>
          <w:szCs w:val="22"/>
        </w:rPr>
        <w:t xml:space="preserve"> </w:t>
      </w:r>
      <w:r w:rsidR="00DB57E3">
        <w:rPr>
          <w:rFonts w:ascii="Arial" w:eastAsia="Calibri" w:hAnsi="Arial" w:cs="Arial"/>
          <w:sz w:val="22"/>
          <w:szCs w:val="22"/>
        </w:rPr>
        <w:t xml:space="preserve">strongly, </w:t>
      </w:r>
      <w:r w:rsidR="002A12D3">
        <w:rPr>
          <w:rFonts w:ascii="Arial" w:eastAsia="Calibri" w:hAnsi="Arial" w:cs="Arial"/>
          <w:sz w:val="22"/>
          <w:szCs w:val="22"/>
        </w:rPr>
        <w:t xml:space="preserve">positively correlated with the change in </w:t>
      </w:r>
      <w:r w:rsidR="003A7EB6">
        <w:rPr>
          <w:rFonts w:ascii="Arial" w:eastAsia="Calibri" w:hAnsi="Arial" w:cs="Arial"/>
          <w:sz w:val="22"/>
          <w:szCs w:val="22"/>
        </w:rPr>
        <w:t xml:space="preserve">GHG </w:t>
      </w:r>
      <w:r w:rsidR="002A12D3">
        <w:rPr>
          <w:rFonts w:ascii="Arial" w:eastAsia="Calibri" w:hAnsi="Arial" w:cs="Arial"/>
          <w:sz w:val="22"/>
          <w:szCs w:val="22"/>
        </w:rPr>
        <w:t>forcing, which reduces the uncertainty of ECS.</w:t>
      </w:r>
      <w:r w:rsidR="00750930">
        <w:rPr>
          <w:rStyle w:val="FootnoteReference"/>
          <w:rFonts w:ascii="Arial" w:eastAsia="Calibri" w:hAnsi="Arial" w:cs="Arial"/>
          <w:sz w:val="22"/>
          <w:szCs w:val="22"/>
        </w:rPr>
        <w:footnoteReference w:id="21"/>
      </w:r>
      <w:r w:rsidR="002A12D3">
        <w:rPr>
          <w:rFonts w:ascii="Arial" w:eastAsia="Calibri" w:hAnsi="Arial" w:cs="Arial"/>
          <w:sz w:val="22"/>
          <w:szCs w:val="22"/>
        </w:rPr>
        <w:t xml:space="preserve"> </w:t>
      </w:r>
    </w:p>
    <w:p w:rsidR="00DD77D0" w:rsidRDefault="009C2384" w:rsidP="00F92BB1">
      <w:pPr>
        <w:jc w:val="both"/>
        <w:rPr>
          <w:rFonts w:ascii="Arial" w:eastAsia="Calibri" w:hAnsi="Arial" w:cs="Arial"/>
          <w:sz w:val="22"/>
          <w:szCs w:val="22"/>
        </w:rPr>
      </w:pPr>
      <w:r w:rsidRPr="00197D90">
        <w:rPr>
          <w:rFonts w:ascii="Arial" w:eastAsia="Calibri" w:hAnsi="Arial" w:cs="Arial"/>
          <w:noProof/>
          <w:sz w:val="22"/>
          <w:szCs w:val="22"/>
          <w:lang w:eastAsia="en-US"/>
        </w:rPr>
        <mc:AlternateContent>
          <mc:Choice Requires="wps">
            <w:drawing>
              <wp:anchor distT="0" distB="0" distL="114300" distR="114300" simplePos="0" relativeHeight="251663360" behindDoc="0" locked="0" layoutInCell="1" allowOverlap="1" wp14:anchorId="32B59C70" wp14:editId="7C3F4C80">
                <wp:simplePos x="0" y="0"/>
                <wp:positionH relativeFrom="column">
                  <wp:posOffset>-3616960</wp:posOffset>
                </wp:positionH>
                <wp:positionV relativeFrom="paragraph">
                  <wp:posOffset>1414145</wp:posOffset>
                </wp:positionV>
                <wp:extent cx="3476625" cy="2838450"/>
                <wp:effectExtent l="0" t="0" r="28575" b="1905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2838450"/>
                        </a:xfrm>
                        <a:prstGeom prst="rect">
                          <a:avLst/>
                        </a:prstGeom>
                        <a:solidFill>
                          <a:srgbClr val="FFFFFF"/>
                        </a:solidFill>
                        <a:ln w="9525">
                          <a:solidFill>
                            <a:srgbClr val="000000"/>
                          </a:solidFill>
                          <a:miter lim="800000"/>
                          <a:headEnd/>
                          <a:tailEnd/>
                        </a:ln>
                      </wps:spPr>
                      <wps:txbx>
                        <w:txbxContent>
                          <w:p w:rsidR="00AE2880" w:rsidRDefault="008511F2">
                            <w:pPr>
                              <w:rPr>
                                <w:rFonts w:ascii="Arial" w:hAnsi="Arial" w:cs="Arial"/>
                                <w:sz w:val="22"/>
                                <w:szCs w:val="22"/>
                              </w:rPr>
                            </w:pPr>
                            <w:r>
                              <w:rPr>
                                <w:rFonts w:ascii="Arial" w:hAnsi="Arial" w:cs="Arial"/>
                                <w:noProof/>
                                <w:sz w:val="22"/>
                                <w:szCs w:val="22"/>
                                <w:lang w:eastAsia="en-US"/>
                              </w:rPr>
                              <w:drawing>
                                <wp:inline distT="0" distB="0" distL="0" distR="0" wp14:anchorId="19510D0A" wp14:editId="556E05E2">
                                  <wp:extent cx="3380932" cy="223283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R-PDF-LC2018-corr-UHIE-MW.jpg"/>
                                          <pic:cNvPicPr/>
                                        </pic:nvPicPr>
                                        <pic:blipFill>
                                          <a:blip r:embed="rId18">
                                            <a:extLst>
                                              <a:ext uri="{28A0092B-C50C-407E-A947-70E740481C1C}">
                                                <a14:useLocalDpi xmlns:a14="http://schemas.microsoft.com/office/drawing/2010/main" val="0"/>
                                              </a:ext>
                                            </a:extLst>
                                          </a:blip>
                                          <a:stretch>
                                            <a:fillRect/>
                                          </a:stretch>
                                        </pic:blipFill>
                                        <pic:spPr>
                                          <a:xfrm>
                                            <a:off x="0" y="0"/>
                                            <a:ext cx="3382339" cy="2233766"/>
                                          </a:xfrm>
                                          <a:prstGeom prst="rect">
                                            <a:avLst/>
                                          </a:prstGeom>
                                        </pic:spPr>
                                      </pic:pic>
                                    </a:graphicData>
                                  </a:graphic>
                                </wp:inline>
                              </w:drawing>
                            </w:r>
                          </w:p>
                          <w:p w:rsidR="00AE2880" w:rsidRPr="00197D90" w:rsidRDefault="00AE2880">
                            <w:pPr>
                              <w:rPr>
                                <w:rFonts w:ascii="Arial" w:hAnsi="Arial" w:cs="Arial"/>
                                <w:sz w:val="22"/>
                                <w:szCs w:val="22"/>
                              </w:rPr>
                            </w:pPr>
                            <w:proofErr w:type="gramStart"/>
                            <w:r w:rsidRPr="00197D90">
                              <w:rPr>
                                <w:rFonts w:ascii="Arial" w:hAnsi="Arial" w:cs="Arial"/>
                                <w:sz w:val="22"/>
                                <w:szCs w:val="22"/>
                              </w:rPr>
                              <w:t xml:space="preserve">Figure </w:t>
                            </w:r>
                            <w:r w:rsidR="0068694E">
                              <w:rPr>
                                <w:rFonts w:ascii="Arial" w:hAnsi="Arial" w:cs="Arial"/>
                                <w:sz w:val="22"/>
                                <w:szCs w:val="22"/>
                              </w:rPr>
                              <w:t>6</w:t>
                            </w:r>
                            <w:r w:rsidRPr="00197D90">
                              <w:rPr>
                                <w:rFonts w:ascii="Arial" w:hAnsi="Arial" w:cs="Arial"/>
                                <w:sz w:val="22"/>
                                <w:szCs w:val="22"/>
                              </w:rPr>
                              <w:t>.</w:t>
                            </w:r>
                            <w:proofErr w:type="gramEnd"/>
                            <w:r w:rsidRPr="00197D90">
                              <w:rPr>
                                <w:rFonts w:ascii="Arial" w:hAnsi="Arial" w:cs="Arial"/>
                                <w:sz w:val="22"/>
                                <w:szCs w:val="22"/>
                              </w:rPr>
                              <w:t xml:space="preserve">  LC2018 </w:t>
                            </w:r>
                            <w:r w:rsidR="00181031">
                              <w:rPr>
                                <w:rFonts w:ascii="Arial" w:hAnsi="Arial" w:cs="Arial"/>
                                <w:sz w:val="22"/>
                                <w:szCs w:val="22"/>
                              </w:rPr>
                              <w:t>T</w:t>
                            </w:r>
                            <w:r w:rsidRPr="00197D90">
                              <w:rPr>
                                <w:rFonts w:ascii="Arial" w:hAnsi="Arial" w:cs="Arial"/>
                                <w:sz w:val="22"/>
                                <w:szCs w:val="22"/>
                              </w:rPr>
                              <w:t>C</w:t>
                            </w:r>
                            <w:r w:rsidR="00181031">
                              <w:rPr>
                                <w:rFonts w:ascii="Arial" w:hAnsi="Arial" w:cs="Arial"/>
                                <w:sz w:val="22"/>
                                <w:szCs w:val="22"/>
                              </w:rPr>
                              <w:t>R</w:t>
                            </w:r>
                            <w:r w:rsidRPr="00197D90">
                              <w:rPr>
                                <w:rFonts w:ascii="Arial" w:hAnsi="Arial" w:cs="Arial"/>
                                <w:sz w:val="22"/>
                                <w:szCs w:val="22"/>
                              </w:rPr>
                              <w:t xml:space="preserve"> corrected by UHIE and millennium warming (red), and LC2018 (blue).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84.8pt;margin-top:111.35pt;width:273.75pt;height:2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">
                <v:textbox>
                  <w:txbxContent>
                    <w:p w:rsidR="00AE2880" w:rsidRDefault="008511F2">
                      <w:pPr>
                        <w:rPr>
                          <w:rFonts w:ascii="Arial" w:hAnsi="Arial" w:cs="Arial"/>
                          <w:sz w:val="22"/>
                          <w:szCs w:val="22"/>
                        </w:rPr>
                      </w:pPr>
                      <w:r>
                        <w:rPr>
                          <w:rFonts w:ascii="Arial" w:hAnsi="Arial" w:cs="Arial"/>
                          <w:noProof/>
                          <w:sz w:val="22"/>
                          <w:szCs w:val="22"/>
                          <w:lang w:eastAsia="en-US"/>
                        </w:rPr>
                        <w:drawing>
                          <wp:inline distT="0" distB="0" distL="0" distR="0" wp14:anchorId="19510D0A" wp14:editId="556E05E2">
                            <wp:extent cx="3380932" cy="223283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CR-PDF-LC2018-corr-UHIE-MW.jpg"/>
                                    <pic:cNvPicPr/>
                                  </pic:nvPicPr>
                                  <pic:blipFill>
                                    <a:blip r:embed="rId19">
                                      <a:extLst>
                                        <a:ext uri="{28A0092B-C50C-407E-A947-70E740481C1C}">
                                          <a14:useLocalDpi xmlns:a14="http://schemas.microsoft.com/office/drawing/2010/main" val="0"/>
                                        </a:ext>
                                      </a:extLst>
                                    </a:blip>
                                    <a:stretch>
                                      <a:fillRect/>
                                    </a:stretch>
                                  </pic:blipFill>
                                  <pic:spPr>
                                    <a:xfrm>
                                      <a:off x="0" y="0"/>
                                      <a:ext cx="3382339" cy="2233766"/>
                                    </a:xfrm>
                                    <a:prstGeom prst="rect">
                                      <a:avLst/>
                                    </a:prstGeom>
                                  </pic:spPr>
                                </pic:pic>
                              </a:graphicData>
                            </a:graphic>
                          </wp:inline>
                        </w:drawing>
                      </w:r>
                    </w:p>
                    <w:p w:rsidR="00AE2880" w:rsidRPr="00197D90" w:rsidRDefault="00AE2880">
                      <w:pPr>
                        <w:rPr>
                          <w:rFonts w:ascii="Arial" w:hAnsi="Arial" w:cs="Arial"/>
                          <w:sz w:val="22"/>
                          <w:szCs w:val="22"/>
                        </w:rPr>
                      </w:pPr>
                      <w:proofErr w:type="gramStart"/>
                      <w:r w:rsidRPr="00197D90">
                        <w:rPr>
                          <w:rFonts w:ascii="Arial" w:hAnsi="Arial" w:cs="Arial"/>
                          <w:sz w:val="22"/>
                          <w:szCs w:val="22"/>
                        </w:rPr>
                        <w:t xml:space="preserve">Figure </w:t>
                      </w:r>
                      <w:r w:rsidR="0068694E">
                        <w:rPr>
                          <w:rFonts w:ascii="Arial" w:hAnsi="Arial" w:cs="Arial"/>
                          <w:sz w:val="22"/>
                          <w:szCs w:val="22"/>
                        </w:rPr>
                        <w:t>6</w:t>
                      </w:r>
                      <w:r w:rsidRPr="00197D90">
                        <w:rPr>
                          <w:rFonts w:ascii="Arial" w:hAnsi="Arial" w:cs="Arial"/>
                          <w:sz w:val="22"/>
                          <w:szCs w:val="22"/>
                        </w:rPr>
                        <w:t>.</w:t>
                      </w:r>
                      <w:proofErr w:type="gramEnd"/>
                      <w:r w:rsidRPr="00197D90">
                        <w:rPr>
                          <w:rFonts w:ascii="Arial" w:hAnsi="Arial" w:cs="Arial"/>
                          <w:sz w:val="22"/>
                          <w:szCs w:val="22"/>
                        </w:rPr>
                        <w:t xml:space="preserve">  LC2018 </w:t>
                      </w:r>
                      <w:r w:rsidR="00181031">
                        <w:rPr>
                          <w:rFonts w:ascii="Arial" w:hAnsi="Arial" w:cs="Arial"/>
                          <w:sz w:val="22"/>
                          <w:szCs w:val="22"/>
                        </w:rPr>
                        <w:t>T</w:t>
                      </w:r>
                      <w:r w:rsidRPr="00197D90">
                        <w:rPr>
                          <w:rFonts w:ascii="Arial" w:hAnsi="Arial" w:cs="Arial"/>
                          <w:sz w:val="22"/>
                          <w:szCs w:val="22"/>
                        </w:rPr>
                        <w:t>C</w:t>
                      </w:r>
                      <w:r w:rsidR="00181031">
                        <w:rPr>
                          <w:rFonts w:ascii="Arial" w:hAnsi="Arial" w:cs="Arial"/>
                          <w:sz w:val="22"/>
                          <w:szCs w:val="22"/>
                        </w:rPr>
                        <w:t>R</w:t>
                      </w:r>
                      <w:r w:rsidRPr="00197D90">
                        <w:rPr>
                          <w:rFonts w:ascii="Arial" w:hAnsi="Arial" w:cs="Arial"/>
                          <w:sz w:val="22"/>
                          <w:szCs w:val="22"/>
                        </w:rPr>
                        <w:t xml:space="preserve"> corrected by UHIE and millennium warming (red), and LC2018 (blue).</w:t>
                      </w:r>
                    </w:p>
                  </w:txbxContent>
                </v:textbox>
                <w10:wrap type="square"/>
              </v:shape>
            </w:pict>
          </mc:Fallback>
        </mc:AlternateContent>
      </w:r>
      <w:r w:rsidR="005425D6">
        <w:rPr>
          <w:rFonts w:ascii="Arial" w:eastAsia="Calibri" w:hAnsi="Arial" w:cs="Arial"/>
          <w:sz w:val="22"/>
          <w:szCs w:val="22"/>
        </w:rPr>
        <w:t>The replicated median ECS is 1.</w:t>
      </w:r>
      <w:r w:rsidR="009415D8">
        <w:rPr>
          <w:rFonts w:ascii="Arial" w:eastAsia="Calibri" w:hAnsi="Arial" w:cs="Arial"/>
          <w:sz w:val="22"/>
          <w:szCs w:val="22"/>
        </w:rPr>
        <w:t>50</w:t>
      </w:r>
      <w:r w:rsidR="005425D6">
        <w:rPr>
          <w:rFonts w:ascii="Arial" w:eastAsia="Calibri" w:hAnsi="Arial" w:cs="Arial"/>
          <w:sz w:val="22"/>
          <w:szCs w:val="22"/>
        </w:rPr>
        <w:t xml:space="preserve"> </w:t>
      </w:r>
      <w:r w:rsidR="005425D6" w:rsidRPr="005425D6">
        <w:rPr>
          <w:rFonts w:ascii="Arial" w:eastAsia="Calibri" w:hAnsi="Arial" w:cs="Arial"/>
          <w:sz w:val="22"/>
          <w:szCs w:val="22"/>
        </w:rPr>
        <w:t>°C</w:t>
      </w:r>
      <w:r w:rsidR="005425D6">
        <w:rPr>
          <w:rFonts w:ascii="Arial" w:eastAsia="Calibri" w:hAnsi="Arial" w:cs="Arial"/>
          <w:sz w:val="22"/>
          <w:szCs w:val="22"/>
        </w:rPr>
        <w:t xml:space="preserve"> with 17-83% CI of 1.</w:t>
      </w:r>
      <w:r w:rsidR="009415D8">
        <w:rPr>
          <w:rFonts w:ascii="Arial" w:eastAsia="Calibri" w:hAnsi="Arial" w:cs="Arial"/>
          <w:sz w:val="22"/>
          <w:szCs w:val="22"/>
        </w:rPr>
        <w:t>20</w:t>
      </w:r>
      <w:r w:rsidR="005425D6">
        <w:rPr>
          <w:rFonts w:ascii="Arial" w:eastAsia="Calibri" w:hAnsi="Arial" w:cs="Arial"/>
          <w:sz w:val="22"/>
          <w:szCs w:val="22"/>
        </w:rPr>
        <w:t>-1.9</w:t>
      </w:r>
      <w:r w:rsidR="009415D8">
        <w:rPr>
          <w:rFonts w:ascii="Arial" w:eastAsia="Calibri" w:hAnsi="Arial" w:cs="Arial"/>
          <w:sz w:val="22"/>
          <w:szCs w:val="22"/>
        </w:rPr>
        <w:t>1</w:t>
      </w:r>
      <w:r w:rsidR="005425D6">
        <w:rPr>
          <w:rFonts w:ascii="Arial" w:eastAsia="Calibri" w:hAnsi="Arial" w:cs="Arial"/>
          <w:sz w:val="22"/>
          <w:szCs w:val="22"/>
        </w:rPr>
        <w:t xml:space="preserve"> </w:t>
      </w:r>
      <w:r w:rsidR="005425D6" w:rsidRPr="005425D6">
        <w:rPr>
          <w:rFonts w:ascii="Arial" w:eastAsia="Calibri" w:hAnsi="Arial" w:cs="Arial"/>
          <w:sz w:val="22"/>
          <w:szCs w:val="22"/>
        </w:rPr>
        <w:t>°C</w:t>
      </w:r>
      <w:r w:rsidR="009415D8">
        <w:rPr>
          <w:rFonts w:ascii="Arial" w:eastAsia="Calibri" w:hAnsi="Arial" w:cs="Arial"/>
          <w:sz w:val="22"/>
          <w:szCs w:val="22"/>
        </w:rPr>
        <w:t xml:space="preserve"> and the replicated median TCR is 1.20</w:t>
      </w:r>
      <w:r w:rsidR="004355E4">
        <w:rPr>
          <w:rFonts w:ascii="Arial" w:eastAsia="Calibri" w:hAnsi="Arial" w:cs="Arial"/>
          <w:sz w:val="22"/>
          <w:szCs w:val="22"/>
        </w:rPr>
        <w:t xml:space="preserve"> </w:t>
      </w:r>
      <w:r w:rsidR="004355E4" w:rsidRPr="005425D6">
        <w:rPr>
          <w:rFonts w:ascii="Arial" w:eastAsia="Calibri" w:hAnsi="Arial" w:cs="Arial"/>
          <w:sz w:val="22"/>
          <w:szCs w:val="22"/>
        </w:rPr>
        <w:t>°C</w:t>
      </w:r>
      <w:r w:rsidR="004355E4">
        <w:rPr>
          <w:rFonts w:ascii="Arial" w:eastAsia="Calibri" w:hAnsi="Arial" w:cs="Arial"/>
          <w:sz w:val="22"/>
          <w:szCs w:val="22"/>
        </w:rPr>
        <w:t xml:space="preserve"> with </w:t>
      </w:r>
      <w:r w:rsidR="004355E4" w:rsidRPr="004355E4">
        <w:rPr>
          <w:rFonts w:ascii="Arial" w:eastAsia="Calibri" w:hAnsi="Arial" w:cs="Arial"/>
          <w:sz w:val="22"/>
          <w:szCs w:val="22"/>
        </w:rPr>
        <w:t>17-83% CI of</w:t>
      </w:r>
      <w:r w:rsidR="004355E4">
        <w:rPr>
          <w:rFonts w:ascii="Arial" w:eastAsia="Calibri" w:hAnsi="Arial" w:cs="Arial"/>
          <w:sz w:val="22"/>
          <w:szCs w:val="22"/>
        </w:rPr>
        <w:t xml:space="preserve"> 0.99-1.46 </w:t>
      </w:r>
      <w:r w:rsidR="004355E4" w:rsidRPr="004355E4">
        <w:rPr>
          <w:rFonts w:ascii="Arial" w:eastAsia="Calibri" w:hAnsi="Arial" w:cs="Arial"/>
          <w:sz w:val="22"/>
          <w:szCs w:val="22"/>
        </w:rPr>
        <w:t>°C</w:t>
      </w:r>
      <w:r w:rsidR="005425D6">
        <w:rPr>
          <w:rFonts w:ascii="Arial" w:eastAsia="Calibri" w:hAnsi="Arial" w:cs="Arial"/>
          <w:sz w:val="22"/>
          <w:szCs w:val="22"/>
        </w:rPr>
        <w:t xml:space="preserve"> which agrees</w:t>
      </w:r>
      <w:r w:rsidR="00816D24">
        <w:rPr>
          <w:rFonts w:ascii="Arial" w:eastAsia="Calibri" w:hAnsi="Arial" w:cs="Arial"/>
          <w:sz w:val="22"/>
          <w:szCs w:val="22"/>
        </w:rPr>
        <w:t xml:space="preserve"> well</w:t>
      </w:r>
      <w:r w:rsidR="005425D6">
        <w:rPr>
          <w:rFonts w:ascii="Arial" w:eastAsia="Calibri" w:hAnsi="Arial" w:cs="Arial"/>
          <w:sz w:val="22"/>
          <w:szCs w:val="22"/>
        </w:rPr>
        <w:t xml:space="preserve"> with the </w:t>
      </w:r>
      <w:r w:rsidR="005F2D7D">
        <w:rPr>
          <w:rFonts w:ascii="Arial" w:eastAsia="Calibri" w:hAnsi="Arial" w:cs="Arial"/>
          <w:sz w:val="22"/>
          <w:szCs w:val="22"/>
        </w:rPr>
        <w:t xml:space="preserve">median and </w:t>
      </w:r>
      <w:r w:rsidR="005425D6">
        <w:rPr>
          <w:rFonts w:ascii="Arial" w:eastAsia="Calibri" w:hAnsi="Arial" w:cs="Arial"/>
          <w:sz w:val="22"/>
          <w:szCs w:val="22"/>
        </w:rPr>
        <w:t>rounded CI reported in LC2018.</w:t>
      </w:r>
    </w:p>
    <w:p w:rsidR="005F2D7D" w:rsidRDefault="00F51E46" w:rsidP="00F92BB1">
      <w:pPr>
        <w:jc w:val="both"/>
        <w:rPr>
          <w:rFonts w:ascii="Arial" w:eastAsia="Calibri" w:hAnsi="Arial" w:cs="Arial"/>
          <w:sz w:val="22"/>
          <w:szCs w:val="22"/>
        </w:rPr>
      </w:pPr>
      <w:r>
        <w:rPr>
          <w:rFonts w:ascii="Arial" w:eastAsia="Calibri" w:hAnsi="Arial" w:cs="Arial"/>
          <w:sz w:val="22"/>
          <w:szCs w:val="22"/>
        </w:rPr>
        <w:t>Standard deviations</w:t>
      </w:r>
      <w:r w:rsidR="005F2D7D">
        <w:rPr>
          <w:rFonts w:ascii="Arial" w:eastAsia="Calibri" w:hAnsi="Arial" w:cs="Arial"/>
          <w:sz w:val="22"/>
          <w:szCs w:val="22"/>
        </w:rPr>
        <w:t xml:space="preserve"> and CI</w:t>
      </w:r>
      <w:r>
        <w:rPr>
          <w:rFonts w:ascii="Arial" w:eastAsia="Calibri" w:hAnsi="Arial" w:cs="Arial"/>
          <w:sz w:val="22"/>
          <w:szCs w:val="22"/>
        </w:rPr>
        <w:t>s</w:t>
      </w:r>
      <w:r w:rsidR="005F2D7D">
        <w:rPr>
          <w:rFonts w:ascii="Arial" w:eastAsia="Calibri" w:hAnsi="Arial" w:cs="Arial"/>
          <w:sz w:val="22"/>
          <w:szCs w:val="22"/>
        </w:rPr>
        <w:t xml:space="preserve"> </w:t>
      </w:r>
      <w:r>
        <w:rPr>
          <w:rFonts w:ascii="Arial" w:eastAsia="Calibri" w:hAnsi="Arial" w:cs="Arial"/>
          <w:sz w:val="22"/>
          <w:szCs w:val="22"/>
        </w:rPr>
        <w:t xml:space="preserve">were assigned </w:t>
      </w:r>
      <w:r w:rsidR="005F2D7D">
        <w:rPr>
          <w:rFonts w:ascii="Arial" w:eastAsia="Calibri" w:hAnsi="Arial" w:cs="Arial"/>
          <w:sz w:val="22"/>
          <w:szCs w:val="22"/>
        </w:rPr>
        <w:t xml:space="preserve">to factors used </w:t>
      </w:r>
      <w:r w:rsidR="00325C6C">
        <w:rPr>
          <w:rFonts w:ascii="Arial" w:eastAsia="Calibri" w:hAnsi="Arial" w:cs="Arial"/>
          <w:sz w:val="22"/>
          <w:szCs w:val="22"/>
        </w:rPr>
        <w:t>to</w:t>
      </w:r>
      <w:r w:rsidR="005F2D7D">
        <w:rPr>
          <w:rFonts w:ascii="Arial" w:eastAsia="Calibri" w:hAnsi="Arial" w:cs="Arial"/>
          <w:sz w:val="22"/>
          <w:szCs w:val="22"/>
        </w:rPr>
        <w:t xml:space="preserve"> calculate the millennium cycle and UHIE adjustments to determine a PDF for the corrected ECS estimates. Figure </w:t>
      </w:r>
      <w:r w:rsidR="004A6E50">
        <w:rPr>
          <w:rFonts w:ascii="Arial" w:eastAsia="Calibri" w:hAnsi="Arial" w:cs="Arial"/>
          <w:sz w:val="22"/>
          <w:szCs w:val="22"/>
        </w:rPr>
        <w:t>5</w:t>
      </w:r>
      <w:r w:rsidR="005F2D7D">
        <w:rPr>
          <w:rFonts w:ascii="Arial" w:eastAsia="Calibri" w:hAnsi="Arial" w:cs="Arial"/>
          <w:sz w:val="22"/>
          <w:szCs w:val="22"/>
        </w:rPr>
        <w:t xml:space="preserve"> shows the LC2018 </w:t>
      </w:r>
      <w:r w:rsidR="00432C75">
        <w:rPr>
          <w:rFonts w:ascii="Arial" w:eastAsia="Calibri" w:hAnsi="Arial" w:cs="Arial"/>
          <w:sz w:val="22"/>
          <w:szCs w:val="22"/>
        </w:rPr>
        <w:t>digitized</w:t>
      </w:r>
      <w:r w:rsidR="005F2D7D">
        <w:rPr>
          <w:rFonts w:ascii="Arial" w:eastAsia="Calibri" w:hAnsi="Arial" w:cs="Arial"/>
          <w:sz w:val="22"/>
          <w:szCs w:val="22"/>
        </w:rPr>
        <w:t xml:space="preserve"> </w:t>
      </w:r>
      <w:r w:rsidR="00636D86">
        <w:rPr>
          <w:rFonts w:ascii="Arial" w:eastAsia="Calibri" w:hAnsi="Arial" w:cs="Arial"/>
          <w:sz w:val="22"/>
          <w:szCs w:val="22"/>
        </w:rPr>
        <w:t xml:space="preserve">ECS </w:t>
      </w:r>
      <w:r w:rsidR="005F2D7D">
        <w:rPr>
          <w:rFonts w:ascii="Arial" w:eastAsia="Calibri" w:hAnsi="Arial" w:cs="Arial"/>
          <w:sz w:val="22"/>
          <w:szCs w:val="22"/>
        </w:rPr>
        <w:t>PDF and the corrected ECS PDF as determined by this study.</w:t>
      </w:r>
      <w:r w:rsidR="0074507A">
        <w:rPr>
          <w:rFonts w:ascii="Arial" w:eastAsia="Calibri" w:hAnsi="Arial" w:cs="Arial"/>
          <w:sz w:val="22"/>
          <w:szCs w:val="22"/>
        </w:rPr>
        <w:t xml:space="preserve"> </w:t>
      </w:r>
      <w:r w:rsidR="00636D86">
        <w:rPr>
          <w:rFonts w:ascii="Arial" w:eastAsia="Calibri" w:hAnsi="Arial" w:cs="Arial"/>
          <w:sz w:val="22"/>
          <w:szCs w:val="22"/>
        </w:rPr>
        <w:t>While the uncertainty</w:t>
      </w:r>
      <w:r w:rsidR="0074507A">
        <w:rPr>
          <w:rFonts w:ascii="Arial" w:eastAsia="Calibri" w:hAnsi="Arial" w:cs="Arial"/>
          <w:sz w:val="22"/>
          <w:szCs w:val="22"/>
        </w:rPr>
        <w:t xml:space="preserve"> range</w:t>
      </w:r>
      <w:r w:rsidR="00636D86">
        <w:rPr>
          <w:rFonts w:ascii="Arial" w:eastAsia="Calibri" w:hAnsi="Arial" w:cs="Arial"/>
          <w:sz w:val="22"/>
          <w:szCs w:val="22"/>
        </w:rPr>
        <w:t>s</w:t>
      </w:r>
      <w:r w:rsidR="0074507A">
        <w:rPr>
          <w:rFonts w:ascii="Arial" w:eastAsia="Calibri" w:hAnsi="Arial" w:cs="Arial"/>
          <w:sz w:val="22"/>
          <w:szCs w:val="22"/>
        </w:rPr>
        <w:t xml:space="preserve"> of the corrected ECS is </w:t>
      </w:r>
      <w:r w:rsidR="00636D86">
        <w:rPr>
          <w:rFonts w:ascii="Arial" w:eastAsia="Calibri" w:hAnsi="Arial" w:cs="Arial"/>
          <w:sz w:val="22"/>
          <w:szCs w:val="22"/>
        </w:rPr>
        <w:t xml:space="preserve">less than that of LC2018, the uncertainty as a fraction of the median of the corrected ECS is </w:t>
      </w:r>
      <w:r w:rsidR="0052490A">
        <w:rPr>
          <w:rFonts w:ascii="Arial" w:eastAsia="Calibri" w:hAnsi="Arial" w:cs="Arial"/>
          <w:sz w:val="22"/>
          <w:szCs w:val="22"/>
        </w:rPr>
        <w:t>3</w:t>
      </w:r>
      <w:r>
        <w:rPr>
          <w:rFonts w:ascii="Arial" w:eastAsia="Calibri" w:hAnsi="Arial" w:cs="Arial"/>
          <w:sz w:val="22"/>
          <w:szCs w:val="22"/>
        </w:rPr>
        <w:t>0</w:t>
      </w:r>
      <w:r w:rsidR="00636D86">
        <w:rPr>
          <w:rFonts w:ascii="Arial" w:eastAsia="Calibri" w:hAnsi="Arial" w:cs="Arial"/>
          <w:sz w:val="22"/>
          <w:szCs w:val="22"/>
        </w:rPr>
        <w:t>% larger than that of LC2018.</w:t>
      </w:r>
    </w:p>
    <w:p w:rsidR="00636D86" w:rsidRDefault="00636D86" w:rsidP="00F92BB1">
      <w:pPr>
        <w:jc w:val="both"/>
        <w:rPr>
          <w:rFonts w:ascii="Arial" w:eastAsia="Calibri" w:hAnsi="Arial" w:cs="Arial"/>
          <w:sz w:val="22"/>
          <w:szCs w:val="22"/>
        </w:rPr>
      </w:pPr>
      <w:r>
        <w:rPr>
          <w:rFonts w:ascii="Arial" w:eastAsia="Calibri" w:hAnsi="Arial" w:cs="Arial"/>
          <w:sz w:val="22"/>
          <w:szCs w:val="22"/>
        </w:rPr>
        <w:t xml:space="preserve">Figure </w:t>
      </w:r>
      <w:r w:rsidR="0068694E">
        <w:rPr>
          <w:rFonts w:ascii="Arial" w:eastAsia="Calibri" w:hAnsi="Arial" w:cs="Arial"/>
          <w:sz w:val="22"/>
          <w:szCs w:val="22"/>
        </w:rPr>
        <w:t>6</w:t>
      </w:r>
      <w:r>
        <w:rPr>
          <w:rFonts w:ascii="Arial" w:eastAsia="Calibri" w:hAnsi="Arial" w:cs="Arial"/>
          <w:sz w:val="22"/>
          <w:szCs w:val="22"/>
        </w:rPr>
        <w:t xml:space="preserve"> shows the LC2018 digitized TCR PD</w:t>
      </w:r>
      <w:r w:rsidR="00C8544C">
        <w:rPr>
          <w:rFonts w:ascii="Arial" w:eastAsia="Calibri" w:hAnsi="Arial" w:cs="Arial"/>
          <w:sz w:val="22"/>
          <w:szCs w:val="22"/>
        </w:rPr>
        <w:t>F</w:t>
      </w:r>
      <w:r>
        <w:rPr>
          <w:rFonts w:ascii="Arial" w:eastAsia="Calibri" w:hAnsi="Arial" w:cs="Arial"/>
          <w:sz w:val="22"/>
          <w:szCs w:val="22"/>
        </w:rPr>
        <w:t xml:space="preserve"> and the corrected TCR </w:t>
      </w:r>
      <w:r>
        <w:rPr>
          <w:rFonts w:ascii="Arial" w:eastAsia="Calibri" w:hAnsi="Arial" w:cs="Arial"/>
          <w:sz w:val="22"/>
          <w:szCs w:val="22"/>
        </w:rPr>
        <w:lastRenderedPageBreak/>
        <w:t>PD</w:t>
      </w:r>
      <w:r w:rsidR="00C8544C">
        <w:rPr>
          <w:rFonts w:ascii="Arial" w:eastAsia="Calibri" w:hAnsi="Arial" w:cs="Arial"/>
          <w:sz w:val="22"/>
          <w:szCs w:val="22"/>
        </w:rPr>
        <w:t>F</w:t>
      </w:r>
      <w:r>
        <w:rPr>
          <w:rFonts w:ascii="Arial" w:eastAsia="Calibri" w:hAnsi="Arial" w:cs="Arial"/>
          <w:sz w:val="22"/>
          <w:szCs w:val="22"/>
        </w:rPr>
        <w:t xml:space="preserve"> as determined by this study. </w:t>
      </w:r>
      <w:r w:rsidRPr="00636D86">
        <w:rPr>
          <w:rFonts w:ascii="Arial" w:eastAsia="Calibri" w:hAnsi="Arial" w:cs="Arial"/>
          <w:sz w:val="22"/>
          <w:szCs w:val="22"/>
        </w:rPr>
        <w:t xml:space="preserve">While the uncertainty ranges of the corrected </w:t>
      </w:r>
      <w:r>
        <w:rPr>
          <w:rFonts w:ascii="Arial" w:eastAsia="Calibri" w:hAnsi="Arial" w:cs="Arial"/>
          <w:sz w:val="22"/>
          <w:szCs w:val="22"/>
        </w:rPr>
        <w:t>TCR</w:t>
      </w:r>
      <w:r w:rsidRPr="00636D86">
        <w:rPr>
          <w:rFonts w:ascii="Arial" w:eastAsia="Calibri" w:hAnsi="Arial" w:cs="Arial"/>
          <w:sz w:val="22"/>
          <w:szCs w:val="22"/>
        </w:rPr>
        <w:t xml:space="preserve"> is </w:t>
      </w:r>
      <w:r w:rsidR="00197D90">
        <w:rPr>
          <w:rFonts w:ascii="Arial" w:eastAsia="Calibri" w:hAnsi="Arial" w:cs="Arial"/>
          <w:sz w:val="22"/>
          <w:szCs w:val="22"/>
        </w:rPr>
        <w:t xml:space="preserve">slightly </w:t>
      </w:r>
      <w:r w:rsidRPr="00636D86">
        <w:rPr>
          <w:rFonts w:ascii="Arial" w:eastAsia="Calibri" w:hAnsi="Arial" w:cs="Arial"/>
          <w:sz w:val="22"/>
          <w:szCs w:val="22"/>
        </w:rPr>
        <w:t xml:space="preserve">less than that of LC2018, the uncertainty as a fraction of the median of the corrected </w:t>
      </w:r>
      <w:r>
        <w:rPr>
          <w:rFonts w:ascii="Arial" w:eastAsia="Calibri" w:hAnsi="Arial" w:cs="Arial"/>
          <w:sz w:val="22"/>
          <w:szCs w:val="22"/>
        </w:rPr>
        <w:t>TCR</w:t>
      </w:r>
      <w:r w:rsidRPr="00636D86">
        <w:rPr>
          <w:rFonts w:ascii="Arial" w:eastAsia="Calibri" w:hAnsi="Arial" w:cs="Arial"/>
          <w:sz w:val="22"/>
          <w:szCs w:val="22"/>
        </w:rPr>
        <w:t xml:space="preserve"> is </w:t>
      </w:r>
      <w:r w:rsidR="0052490A">
        <w:rPr>
          <w:rFonts w:ascii="Arial" w:eastAsia="Calibri" w:hAnsi="Arial" w:cs="Arial"/>
          <w:sz w:val="22"/>
          <w:szCs w:val="22"/>
        </w:rPr>
        <w:t>40</w:t>
      </w:r>
      <w:r w:rsidRPr="00636D86">
        <w:rPr>
          <w:rFonts w:ascii="Arial" w:eastAsia="Calibri" w:hAnsi="Arial" w:cs="Arial"/>
          <w:sz w:val="22"/>
          <w:szCs w:val="22"/>
        </w:rPr>
        <w:t>% larger than that of LC2018.</w:t>
      </w:r>
    </w:p>
    <w:p w:rsidR="00432C75" w:rsidRDefault="00432C75" w:rsidP="00F92BB1">
      <w:pPr>
        <w:jc w:val="both"/>
        <w:rPr>
          <w:rFonts w:ascii="Arial" w:eastAsia="Calibri" w:hAnsi="Arial" w:cs="Arial"/>
          <w:sz w:val="22"/>
          <w:szCs w:val="22"/>
        </w:rPr>
      </w:pPr>
      <w:r>
        <w:rPr>
          <w:rFonts w:ascii="Arial" w:eastAsia="Calibri" w:hAnsi="Arial" w:cs="Arial"/>
          <w:sz w:val="22"/>
          <w:szCs w:val="22"/>
        </w:rPr>
        <w:t>The uncertainty intervals for the UHIE was not provided in MM2007 but the DM2005 study did</w:t>
      </w:r>
      <w:r w:rsidR="002A12D3">
        <w:rPr>
          <w:rFonts w:ascii="Arial" w:eastAsia="Calibri" w:hAnsi="Arial" w:cs="Arial"/>
          <w:sz w:val="22"/>
          <w:szCs w:val="22"/>
        </w:rPr>
        <w:t xml:space="preserve"> provide</w:t>
      </w:r>
      <w:r>
        <w:rPr>
          <w:rFonts w:ascii="Arial" w:eastAsia="Calibri" w:hAnsi="Arial" w:cs="Arial"/>
          <w:sz w:val="22"/>
          <w:szCs w:val="22"/>
        </w:rPr>
        <w:t xml:space="preserve"> 1-sigma uncertainty estimates</w:t>
      </w:r>
      <w:r w:rsidR="002A12D3">
        <w:rPr>
          <w:rFonts w:ascii="Arial" w:eastAsia="Calibri" w:hAnsi="Arial" w:cs="Arial"/>
          <w:sz w:val="22"/>
          <w:szCs w:val="22"/>
        </w:rPr>
        <w:t xml:space="preserve"> which were used in this study</w:t>
      </w:r>
      <w:r>
        <w:rPr>
          <w:rFonts w:ascii="Arial" w:eastAsia="Calibri" w:hAnsi="Arial" w:cs="Arial"/>
          <w:sz w:val="22"/>
          <w:szCs w:val="22"/>
        </w:rPr>
        <w:t xml:space="preserve">. </w:t>
      </w:r>
    </w:p>
    <w:p w:rsidR="008E59EA" w:rsidRDefault="009C197E" w:rsidP="00F92BB1">
      <w:pPr>
        <w:jc w:val="both"/>
        <w:rPr>
          <w:rFonts w:ascii="Arial" w:eastAsia="Calibri" w:hAnsi="Arial" w:cs="Arial"/>
          <w:sz w:val="22"/>
          <w:szCs w:val="22"/>
        </w:rPr>
      </w:pPr>
      <w:r>
        <w:rPr>
          <w:rFonts w:ascii="Arial" w:eastAsia="Calibri" w:hAnsi="Arial" w:cs="Arial"/>
          <w:sz w:val="22"/>
          <w:szCs w:val="22"/>
        </w:rPr>
        <w:t xml:space="preserve">Table 3 gives the mean, standard deviations and 5-95% CIs for factors used to calculate the UHIE and millennium adjustments. </w:t>
      </w:r>
      <w:r w:rsidR="007948A2">
        <w:rPr>
          <w:rFonts w:ascii="Arial" w:eastAsia="Calibri" w:hAnsi="Arial" w:cs="Arial"/>
          <w:sz w:val="22"/>
          <w:szCs w:val="22"/>
        </w:rPr>
        <w:t xml:space="preserve">All input factors </w:t>
      </w:r>
      <w:r w:rsidR="0068694E">
        <w:rPr>
          <w:rFonts w:ascii="Arial" w:eastAsia="Calibri" w:hAnsi="Arial" w:cs="Arial"/>
          <w:sz w:val="22"/>
          <w:szCs w:val="22"/>
        </w:rPr>
        <w:t xml:space="preserve">used to calculate the UHIE and millennium adjustments </w:t>
      </w:r>
      <w:r w:rsidR="007948A2">
        <w:rPr>
          <w:rFonts w:ascii="Arial" w:eastAsia="Calibri" w:hAnsi="Arial" w:cs="Arial"/>
          <w:sz w:val="22"/>
          <w:szCs w:val="22"/>
        </w:rPr>
        <w:t>were assigned normal distributions.</w:t>
      </w:r>
      <w:r w:rsidR="0052490A">
        <w:rPr>
          <w:rFonts w:ascii="Arial" w:eastAsia="Calibri" w:hAnsi="Arial" w:cs="Arial"/>
          <w:sz w:val="22"/>
          <w:szCs w:val="22"/>
        </w:rPr>
        <w:t xml:space="preserve"> However, note that the PDFs of both the TRC and ECS estimates are skewed distributions.</w:t>
      </w:r>
    </w:p>
    <w:tbl>
      <w:tblPr>
        <w:tblStyle w:val="TableGrid"/>
        <w:tblW w:w="0" w:type="auto"/>
        <w:tblInd w:w="198" w:type="dxa"/>
        <w:tblLook w:val="04A0" w:firstRow="1" w:lastRow="0" w:firstColumn="1" w:lastColumn="0" w:noHBand="0" w:noVBand="1"/>
      </w:tblPr>
      <w:tblGrid>
        <w:gridCol w:w="2880"/>
        <w:gridCol w:w="1530"/>
        <w:gridCol w:w="1710"/>
        <w:gridCol w:w="1620"/>
      </w:tblGrid>
      <w:tr w:rsidR="009C197E" w:rsidTr="0069014D">
        <w:trPr>
          <w:trHeight w:val="350"/>
        </w:trPr>
        <w:tc>
          <w:tcPr>
            <w:tcW w:w="7740" w:type="dxa"/>
            <w:gridSpan w:val="4"/>
          </w:tcPr>
          <w:p w:rsidR="009C197E" w:rsidRPr="00B47730" w:rsidRDefault="009C197E" w:rsidP="00F920D0">
            <w:pPr>
              <w:jc w:val="center"/>
              <w:rPr>
                <w:rFonts w:ascii="Arial" w:eastAsia="Calibri" w:hAnsi="Arial" w:cs="Arial"/>
                <w:b/>
                <w:sz w:val="22"/>
                <w:szCs w:val="22"/>
              </w:rPr>
            </w:pPr>
            <w:r w:rsidRPr="00B47730">
              <w:rPr>
                <w:rFonts w:ascii="Arial" w:eastAsia="Calibri" w:hAnsi="Arial" w:cs="Arial"/>
                <w:b/>
                <w:sz w:val="22"/>
                <w:szCs w:val="22"/>
              </w:rPr>
              <w:t xml:space="preserve">Table </w:t>
            </w:r>
            <w:r w:rsidR="00F920D0">
              <w:rPr>
                <w:rFonts w:ascii="Arial" w:eastAsia="Calibri" w:hAnsi="Arial" w:cs="Arial"/>
                <w:b/>
                <w:sz w:val="22"/>
                <w:szCs w:val="22"/>
              </w:rPr>
              <w:t>3</w:t>
            </w:r>
            <w:r w:rsidRPr="00B47730">
              <w:rPr>
                <w:rFonts w:ascii="Arial" w:eastAsia="Calibri" w:hAnsi="Arial" w:cs="Arial"/>
                <w:b/>
                <w:sz w:val="22"/>
                <w:szCs w:val="22"/>
              </w:rPr>
              <w:t>.  Uncertainty Analysis</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 xml:space="preserve">Trends in </w:t>
            </w:r>
            <w:r w:rsidRPr="00604060">
              <w:rPr>
                <w:rFonts w:ascii="Arial" w:eastAsia="Calibri" w:hAnsi="Arial" w:cs="Arial"/>
                <w:sz w:val="22"/>
                <w:szCs w:val="22"/>
              </w:rPr>
              <w:t>°C/decade</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Mean</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5-95% CI</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Std. deviation</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GMST without UHIE trend</w:t>
            </w:r>
          </w:p>
        </w:tc>
        <w:tc>
          <w:tcPr>
            <w:tcW w:w="1530" w:type="dxa"/>
            <w:vAlign w:val="center"/>
          </w:tcPr>
          <w:p w:rsidR="009C197E" w:rsidRDefault="009C197E" w:rsidP="0069014D">
            <w:pPr>
              <w:jc w:val="center"/>
              <w:rPr>
                <w:rFonts w:ascii="Arial" w:eastAsia="Calibri" w:hAnsi="Arial" w:cs="Arial"/>
                <w:sz w:val="22"/>
                <w:szCs w:val="22"/>
              </w:rPr>
            </w:pPr>
            <w:r w:rsidRPr="00B312B2">
              <w:rPr>
                <w:rFonts w:ascii="Arial" w:eastAsia="Calibri" w:hAnsi="Arial" w:cs="Arial"/>
                <w:sz w:val="22"/>
                <w:szCs w:val="22"/>
              </w:rPr>
              <w:t>0.129</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0.094-0.164</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0.021</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sidRPr="00604060">
              <w:rPr>
                <w:rFonts w:ascii="Arial" w:eastAsia="Calibri" w:hAnsi="Arial" w:cs="Arial"/>
                <w:sz w:val="22"/>
                <w:szCs w:val="22"/>
              </w:rPr>
              <w:t>GMST trend</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0.169</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0.124-0.213</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0.027</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DM2005 UHIE trend</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0.040</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-0.017-0.096</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0.034</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Ave. UHIE trend</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0.040</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0.0-0.080</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0.024</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ETNH Millennium trend</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0.101</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0.068-0.134</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0.020</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Global adjustment</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0.754</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0.63-0.88</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0.076</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Proxy adjustment</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1.11</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1.08-1.14</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0.018</w:t>
            </w:r>
          </w:p>
        </w:tc>
      </w:tr>
      <w:tr w:rsidR="009C197E" w:rsidTr="0069014D">
        <w:trPr>
          <w:cantSplit/>
          <w:trHeight w:val="317"/>
        </w:trPr>
        <w:tc>
          <w:tcPr>
            <w:tcW w:w="288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Global Millennium trend</w:t>
            </w:r>
          </w:p>
        </w:tc>
        <w:tc>
          <w:tcPr>
            <w:tcW w:w="153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0.084</w:t>
            </w:r>
          </w:p>
        </w:tc>
        <w:tc>
          <w:tcPr>
            <w:tcW w:w="171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0.053-0.116</w:t>
            </w:r>
          </w:p>
        </w:tc>
        <w:tc>
          <w:tcPr>
            <w:tcW w:w="1620" w:type="dxa"/>
            <w:vAlign w:val="center"/>
          </w:tcPr>
          <w:p w:rsidR="009C197E" w:rsidRDefault="009C197E" w:rsidP="0069014D">
            <w:pPr>
              <w:jc w:val="center"/>
              <w:rPr>
                <w:rFonts w:ascii="Arial" w:eastAsia="Calibri" w:hAnsi="Arial" w:cs="Arial"/>
                <w:sz w:val="22"/>
                <w:szCs w:val="22"/>
              </w:rPr>
            </w:pPr>
            <w:r>
              <w:rPr>
                <w:rFonts w:ascii="Arial" w:eastAsia="Calibri" w:hAnsi="Arial" w:cs="Arial"/>
                <w:sz w:val="22"/>
                <w:szCs w:val="22"/>
              </w:rPr>
              <w:t>0.019</w:t>
            </w:r>
          </w:p>
        </w:tc>
      </w:tr>
    </w:tbl>
    <w:p w:rsidR="009C197E" w:rsidRDefault="009C197E" w:rsidP="00F92BB1">
      <w:pPr>
        <w:jc w:val="both"/>
        <w:rPr>
          <w:rFonts w:ascii="Arial" w:eastAsia="Calibri" w:hAnsi="Arial" w:cs="Arial"/>
          <w:sz w:val="22"/>
          <w:szCs w:val="22"/>
        </w:rPr>
      </w:pPr>
    </w:p>
    <w:p w:rsidR="00750930" w:rsidRPr="00B47730" w:rsidRDefault="00750930" w:rsidP="00F92BB1">
      <w:pPr>
        <w:jc w:val="both"/>
        <w:rPr>
          <w:rFonts w:ascii="Arial" w:eastAsia="Calibri" w:hAnsi="Arial" w:cs="Arial"/>
          <w:b/>
          <w:sz w:val="28"/>
          <w:szCs w:val="28"/>
        </w:rPr>
      </w:pPr>
      <w:r w:rsidRPr="00B47730">
        <w:rPr>
          <w:rFonts w:ascii="Arial" w:eastAsia="Calibri" w:hAnsi="Arial" w:cs="Arial"/>
          <w:b/>
          <w:sz w:val="28"/>
          <w:szCs w:val="28"/>
        </w:rPr>
        <w:t>Forecast Greenhouse Gas Induced Temperature Rise</w:t>
      </w:r>
    </w:p>
    <w:p w:rsidR="00392CFA" w:rsidRPr="007D6504" w:rsidRDefault="00084019" w:rsidP="00F92BB1">
      <w:pPr>
        <w:jc w:val="both"/>
        <w:rPr>
          <w:rFonts w:ascii="Arial" w:eastAsia="Calibri" w:hAnsi="Arial" w:cs="Arial"/>
          <w:sz w:val="22"/>
          <w:szCs w:val="22"/>
        </w:rPr>
      </w:pPr>
      <w:r>
        <w:rPr>
          <w:rFonts w:ascii="Arial" w:eastAsia="Calibri" w:hAnsi="Arial" w:cs="Arial"/>
          <w:sz w:val="22"/>
          <w:szCs w:val="22"/>
        </w:rPr>
        <w:t xml:space="preserve">The best estimate TCR of 0.83 </w:t>
      </w:r>
      <w:r>
        <w:rPr>
          <w:rFonts w:ascii="Calibri" w:eastAsia="Calibri" w:hAnsi="Calibri" w:cs="Arial"/>
          <w:sz w:val="22"/>
          <w:szCs w:val="22"/>
        </w:rPr>
        <w:t>°</w:t>
      </w:r>
      <w:r>
        <w:rPr>
          <w:rFonts w:ascii="Arial" w:eastAsia="Calibri" w:hAnsi="Arial" w:cs="Arial"/>
          <w:sz w:val="22"/>
          <w:szCs w:val="22"/>
        </w:rPr>
        <w:t xml:space="preserve">C implies that the global temperature will increase from 2019 to 2100 </w:t>
      </w:r>
      <w:r w:rsidR="00E1513D">
        <w:rPr>
          <w:rFonts w:ascii="Arial" w:eastAsia="Calibri" w:hAnsi="Arial" w:cs="Arial"/>
          <w:sz w:val="22"/>
          <w:szCs w:val="22"/>
        </w:rPr>
        <w:t>by only 0.6</w:t>
      </w:r>
      <w:r w:rsidR="007D6504">
        <w:rPr>
          <w:rFonts w:ascii="Arial" w:eastAsia="Calibri" w:hAnsi="Arial" w:cs="Arial"/>
          <w:sz w:val="22"/>
          <w:szCs w:val="22"/>
        </w:rPr>
        <w:t>3</w:t>
      </w:r>
      <w:r w:rsidR="00E1513D">
        <w:rPr>
          <w:rFonts w:ascii="Arial" w:eastAsia="Calibri" w:hAnsi="Arial" w:cs="Arial"/>
          <w:sz w:val="22"/>
          <w:szCs w:val="22"/>
        </w:rPr>
        <w:t xml:space="preserve"> </w:t>
      </w:r>
      <w:r w:rsidR="00E1513D">
        <w:rPr>
          <w:rFonts w:ascii="Calibri" w:eastAsia="Calibri" w:hAnsi="Calibri" w:cs="Arial"/>
          <w:sz w:val="22"/>
          <w:szCs w:val="22"/>
        </w:rPr>
        <w:t>°</w:t>
      </w:r>
      <w:r w:rsidR="00E1513D">
        <w:rPr>
          <w:rFonts w:ascii="Arial" w:eastAsia="Calibri" w:hAnsi="Arial" w:cs="Arial"/>
          <w:sz w:val="22"/>
          <w:szCs w:val="22"/>
        </w:rPr>
        <w:t xml:space="preserve">C </w:t>
      </w:r>
      <w:r>
        <w:rPr>
          <w:rFonts w:ascii="Arial" w:eastAsia="Calibri" w:hAnsi="Arial" w:cs="Arial"/>
          <w:sz w:val="22"/>
          <w:szCs w:val="22"/>
        </w:rPr>
        <w:t xml:space="preserve">due to anthropogenic </w:t>
      </w:r>
      <w:r w:rsidR="003A7EB6">
        <w:rPr>
          <w:rFonts w:ascii="Arial" w:eastAsia="Calibri" w:hAnsi="Arial" w:cs="Arial"/>
          <w:sz w:val="22"/>
          <w:szCs w:val="22"/>
        </w:rPr>
        <w:t>GHG</w:t>
      </w:r>
      <w:r>
        <w:rPr>
          <w:rFonts w:ascii="Arial" w:eastAsia="Calibri" w:hAnsi="Arial" w:cs="Arial"/>
          <w:sz w:val="22"/>
          <w:szCs w:val="22"/>
        </w:rPr>
        <w:t xml:space="preserve"> emissions</w:t>
      </w:r>
      <w:r w:rsidR="00E1513D">
        <w:rPr>
          <w:rFonts w:ascii="Arial" w:eastAsia="Calibri" w:hAnsi="Arial" w:cs="Arial"/>
          <w:sz w:val="22"/>
          <w:szCs w:val="22"/>
        </w:rPr>
        <w:t xml:space="preserve">. Natural climate change </w:t>
      </w:r>
      <w:r w:rsidR="00C631EC">
        <w:rPr>
          <w:rFonts w:ascii="Arial" w:eastAsia="Calibri" w:hAnsi="Arial" w:cs="Arial"/>
          <w:sz w:val="22"/>
          <w:szCs w:val="22"/>
        </w:rPr>
        <w:t xml:space="preserve">and changes to aerosol forcings are </w:t>
      </w:r>
      <w:r w:rsidR="00E1513D">
        <w:rPr>
          <w:rFonts w:ascii="Arial" w:eastAsia="Calibri" w:hAnsi="Arial" w:cs="Arial"/>
          <w:sz w:val="22"/>
          <w:szCs w:val="22"/>
        </w:rPr>
        <w:t>not forecast. The forecast assumes that</w:t>
      </w:r>
      <w:r>
        <w:rPr>
          <w:rFonts w:ascii="Arial" w:eastAsia="Calibri" w:hAnsi="Arial" w:cs="Arial"/>
          <w:sz w:val="22"/>
          <w:szCs w:val="22"/>
        </w:rPr>
        <w:t xml:space="preserve"> atmospheric CO</w:t>
      </w:r>
      <w:r w:rsidRPr="00392C92">
        <w:rPr>
          <w:rFonts w:ascii="Arial" w:eastAsia="Calibri" w:hAnsi="Arial" w:cs="Arial"/>
          <w:sz w:val="22"/>
          <w:szCs w:val="22"/>
          <w:vertAlign w:val="subscript"/>
        </w:rPr>
        <w:t>2</w:t>
      </w:r>
      <w:r>
        <w:rPr>
          <w:rFonts w:ascii="Arial" w:eastAsia="Calibri" w:hAnsi="Arial" w:cs="Arial"/>
          <w:sz w:val="22"/>
          <w:szCs w:val="22"/>
        </w:rPr>
        <w:t xml:space="preserve"> </w:t>
      </w:r>
      <w:r w:rsidR="00E1513D">
        <w:rPr>
          <w:rFonts w:ascii="Arial" w:eastAsia="Calibri" w:hAnsi="Arial" w:cs="Arial"/>
          <w:sz w:val="22"/>
          <w:szCs w:val="22"/>
        </w:rPr>
        <w:t xml:space="preserve">concentrations </w:t>
      </w:r>
      <w:r>
        <w:rPr>
          <w:rFonts w:ascii="Arial" w:eastAsia="Calibri" w:hAnsi="Arial" w:cs="Arial"/>
          <w:sz w:val="22"/>
          <w:szCs w:val="22"/>
        </w:rPr>
        <w:t>continue to increase at the current rate of 0.</w:t>
      </w:r>
      <w:r w:rsidR="00E1513D">
        <w:rPr>
          <w:rFonts w:ascii="Arial" w:eastAsia="Calibri" w:hAnsi="Arial" w:cs="Arial"/>
          <w:sz w:val="22"/>
          <w:szCs w:val="22"/>
        </w:rPr>
        <w:t>60</w:t>
      </w:r>
      <w:r>
        <w:rPr>
          <w:rFonts w:ascii="Arial" w:eastAsia="Calibri" w:hAnsi="Arial" w:cs="Arial"/>
          <w:sz w:val="22"/>
          <w:szCs w:val="22"/>
        </w:rPr>
        <w:t>%/year</w:t>
      </w:r>
      <w:r w:rsidR="00E1513D">
        <w:rPr>
          <w:rFonts w:ascii="Arial" w:eastAsia="Calibri" w:hAnsi="Arial" w:cs="Arial"/>
          <w:sz w:val="22"/>
          <w:szCs w:val="22"/>
        </w:rPr>
        <w:t xml:space="preserve"> and that non-CO</w:t>
      </w:r>
      <w:r w:rsidR="00E1513D" w:rsidRPr="00C631EC">
        <w:rPr>
          <w:rFonts w:ascii="Arial" w:eastAsia="Calibri" w:hAnsi="Arial" w:cs="Arial"/>
          <w:sz w:val="22"/>
          <w:szCs w:val="22"/>
          <w:vertAlign w:val="subscript"/>
        </w:rPr>
        <w:t>2</w:t>
      </w:r>
      <w:r w:rsidR="00E1513D">
        <w:rPr>
          <w:rFonts w:ascii="Arial" w:eastAsia="Calibri" w:hAnsi="Arial" w:cs="Arial"/>
          <w:sz w:val="22"/>
          <w:szCs w:val="22"/>
        </w:rPr>
        <w:t xml:space="preserve"> </w:t>
      </w:r>
      <w:r w:rsidR="003A7EB6">
        <w:rPr>
          <w:rFonts w:ascii="Arial" w:eastAsia="Calibri" w:hAnsi="Arial" w:cs="Arial"/>
          <w:sz w:val="22"/>
          <w:szCs w:val="22"/>
        </w:rPr>
        <w:t>GHG</w:t>
      </w:r>
      <w:r w:rsidR="00E1513D">
        <w:rPr>
          <w:rFonts w:ascii="Arial" w:eastAsia="Calibri" w:hAnsi="Arial" w:cs="Arial"/>
          <w:sz w:val="22"/>
          <w:szCs w:val="22"/>
        </w:rPr>
        <w:t xml:space="preserve"> contribute 18% of the CO</w:t>
      </w:r>
      <w:r w:rsidR="00E1513D" w:rsidRPr="00E1513D">
        <w:rPr>
          <w:rFonts w:ascii="Arial" w:eastAsia="Calibri" w:hAnsi="Arial" w:cs="Arial"/>
          <w:sz w:val="22"/>
          <w:szCs w:val="22"/>
          <w:vertAlign w:val="subscript"/>
        </w:rPr>
        <w:t>2</w:t>
      </w:r>
      <w:r w:rsidR="00E1513D">
        <w:rPr>
          <w:rFonts w:ascii="Arial" w:eastAsia="Calibri" w:hAnsi="Arial" w:cs="Arial"/>
          <w:sz w:val="22"/>
          <w:szCs w:val="22"/>
        </w:rPr>
        <w:t xml:space="preserve"> forcing</w:t>
      </w:r>
      <w:r>
        <w:rPr>
          <w:rFonts w:ascii="Arial" w:eastAsia="Calibri" w:hAnsi="Arial" w:cs="Arial"/>
          <w:sz w:val="22"/>
          <w:szCs w:val="22"/>
        </w:rPr>
        <w:t>.</w:t>
      </w:r>
      <w:r w:rsidR="00515E50">
        <w:rPr>
          <w:rStyle w:val="FootnoteReference"/>
          <w:rFonts w:ascii="Arial" w:eastAsia="Calibri" w:hAnsi="Arial" w:cs="Arial"/>
          <w:sz w:val="22"/>
          <w:szCs w:val="22"/>
        </w:rPr>
        <w:footnoteReference w:id="22"/>
      </w:r>
      <w:r>
        <w:rPr>
          <w:rFonts w:ascii="Arial" w:eastAsia="Calibri" w:hAnsi="Arial" w:cs="Arial"/>
          <w:sz w:val="22"/>
          <w:szCs w:val="22"/>
        </w:rPr>
        <w:t xml:space="preserve"> </w:t>
      </w:r>
      <w:r w:rsidR="00E1513D">
        <w:rPr>
          <w:rFonts w:ascii="Arial" w:eastAsia="Calibri" w:hAnsi="Arial" w:cs="Arial"/>
          <w:sz w:val="22"/>
          <w:szCs w:val="22"/>
        </w:rPr>
        <w:t>This estimate includes the effects of increasing GHG concentration prior to 2019, which by 2100 is 0.0</w:t>
      </w:r>
      <w:r w:rsidR="007D6504">
        <w:rPr>
          <w:rFonts w:ascii="Arial" w:eastAsia="Calibri" w:hAnsi="Arial" w:cs="Arial"/>
          <w:sz w:val="22"/>
          <w:szCs w:val="22"/>
        </w:rPr>
        <w:t>7</w:t>
      </w:r>
      <w:r w:rsidR="00E1513D">
        <w:rPr>
          <w:rFonts w:ascii="Arial" w:eastAsia="Calibri" w:hAnsi="Arial" w:cs="Arial"/>
          <w:sz w:val="22"/>
          <w:szCs w:val="22"/>
        </w:rPr>
        <w:t xml:space="preserve"> </w:t>
      </w:r>
      <w:r w:rsidR="00E1513D">
        <w:rPr>
          <w:rFonts w:ascii="Calibri" w:eastAsia="Calibri" w:hAnsi="Calibri" w:cs="Calibri"/>
          <w:sz w:val="22"/>
          <w:szCs w:val="22"/>
        </w:rPr>
        <w:t>°</w:t>
      </w:r>
      <w:r w:rsidR="00E1513D">
        <w:rPr>
          <w:rFonts w:ascii="Arial" w:eastAsia="Calibri" w:hAnsi="Arial" w:cs="Arial"/>
          <w:sz w:val="22"/>
          <w:szCs w:val="22"/>
        </w:rPr>
        <w:t xml:space="preserve">C. </w:t>
      </w:r>
      <w:r w:rsidR="001E1A51">
        <w:rPr>
          <w:rFonts w:ascii="Arial" w:eastAsia="Calibri" w:hAnsi="Arial" w:cs="Arial"/>
          <w:sz w:val="22"/>
          <w:szCs w:val="22"/>
        </w:rPr>
        <w:t>T</w:t>
      </w:r>
      <w:r w:rsidR="001E1A51" w:rsidRPr="001E1A51">
        <w:rPr>
          <w:rFonts w:ascii="Arial" w:eastAsia="Calibri" w:hAnsi="Arial" w:cs="Arial"/>
          <w:sz w:val="22"/>
          <w:szCs w:val="22"/>
        </w:rPr>
        <w:t xml:space="preserve">he scaled difference between the ECS and TCR estimates is </w:t>
      </w:r>
      <w:r w:rsidR="00F31459" w:rsidRPr="001E1A51">
        <w:rPr>
          <w:rFonts w:ascii="Arial" w:eastAsia="Calibri" w:hAnsi="Arial" w:cs="Arial"/>
          <w:sz w:val="22"/>
          <w:szCs w:val="22"/>
        </w:rPr>
        <w:t>realized</w:t>
      </w:r>
      <w:r w:rsidR="001E1A51" w:rsidRPr="001E1A51">
        <w:rPr>
          <w:rFonts w:ascii="Arial" w:eastAsia="Calibri" w:hAnsi="Arial" w:cs="Arial"/>
          <w:sz w:val="22"/>
          <w:szCs w:val="22"/>
        </w:rPr>
        <w:t>, after the period used to estimate them</w:t>
      </w:r>
      <w:r w:rsidR="001E1A51">
        <w:rPr>
          <w:rFonts w:ascii="Arial" w:eastAsia="Calibri" w:hAnsi="Arial" w:cs="Arial"/>
          <w:sz w:val="22"/>
          <w:szCs w:val="22"/>
        </w:rPr>
        <w:t xml:space="preserve"> (i.e. 2011)</w:t>
      </w:r>
      <w:r w:rsidR="001E1A51" w:rsidRPr="001E1A51">
        <w:rPr>
          <w:rFonts w:ascii="Arial" w:eastAsia="Calibri" w:hAnsi="Arial" w:cs="Arial"/>
          <w:sz w:val="22"/>
          <w:szCs w:val="22"/>
        </w:rPr>
        <w:t>, according to an exponential response function</w:t>
      </w:r>
      <w:r w:rsidR="001E1A51">
        <w:rPr>
          <w:rFonts w:ascii="Arial" w:eastAsia="Calibri" w:hAnsi="Arial" w:cs="Arial"/>
          <w:sz w:val="22"/>
          <w:szCs w:val="22"/>
        </w:rPr>
        <w:t>.</w:t>
      </w:r>
      <w:r w:rsidR="00075297">
        <w:rPr>
          <w:rStyle w:val="FootnoteReference"/>
          <w:rFonts w:ascii="Arial" w:eastAsia="Calibri" w:hAnsi="Arial" w:cs="Arial"/>
          <w:sz w:val="22"/>
          <w:szCs w:val="22"/>
        </w:rPr>
        <w:footnoteReference w:id="23"/>
      </w:r>
      <w:r w:rsidR="00E1513D">
        <w:rPr>
          <w:rFonts w:ascii="Arial" w:eastAsia="Calibri" w:hAnsi="Arial" w:cs="Arial"/>
          <w:sz w:val="22"/>
          <w:szCs w:val="22"/>
        </w:rPr>
        <w:t xml:space="preserve"> </w:t>
      </w:r>
      <w:r w:rsidRPr="0015588C">
        <w:rPr>
          <w:rFonts w:ascii="Arial" w:eastAsia="Calibri" w:hAnsi="Arial" w:cs="Arial"/>
          <w:sz w:val="22"/>
          <w:szCs w:val="22"/>
        </w:rPr>
        <w:t>Actual temperatures may rise or fall depending on natural climate change</w:t>
      </w:r>
      <w:r>
        <w:rPr>
          <w:rFonts w:ascii="Arial" w:eastAsia="Calibri" w:hAnsi="Arial" w:cs="Arial"/>
          <w:sz w:val="22"/>
          <w:szCs w:val="22"/>
        </w:rPr>
        <w:t>.</w:t>
      </w:r>
      <w:r w:rsidR="001E1A51">
        <w:rPr>
          <w:rFonts w:ascii="Arial" w:eastAsia="Calibri" w:hAnsi="Arial" w:cs="Arial"/>
          <w:sz w:val="22"/>
          <w:szCs w:val="22"/>
        </w:rPr>
        <w:t xml:space="preserve"> Figure </w:t>
      </w:r>
      <w:r w:rsidR="0068694E">
        <w:rPr>
          <w:rFonts w:ascii="Arial" w:eastAsia="Calibri" w:hAnsi="Arial" w:cs="Arial"/>
          <w:sz w:val="22"/>
          <w:szCs w:val="22"/>
        </w:rPr>
        <w:t>7</w:t>
      </w:r>
      <w:r w:rsidR="001E1A51">
        <w:rPr>
          <w:rFonts w:ascii="Arial" w:eastAsia="Calibri" w:hAnsi="Arial" w:cs="Arial"/>
          <w:sz w:val="22"/>
          <w:szCs w:val="22"/>
        </w:rPr>
        <w:t xml:space="preserve"> shows the projected temperature response to continued exponential growth in GHG concentrations.</w:t>
      </w:r>
      <w:r w:rsidR="00392CFA" w:rsidRPr="007D6504">
        <w:rPr>
          <w:rFonts w:ascii="Arial" w:eastAsia="Calibri" w:hAnsi="Arial" w:cs="Arial"/>
          <w:sz w:val="22"/>
          <w:szCs w:val="22"/>
        </w:rPr>
        <w:t xml:space="preserve"> </w:t>
      </w:r>
      <w:r w:rsidR="007D6504" w:rsidRPr="007D6504">
        <w:rPr>
          <w:rFonts w:ascii="Arial" w:eastAsia="Calibri" w:hAnsi="Arial" w:cs="Arial"/>
          <w:sz w:val="22"/>
          <w:szCs w:val="22"/>
        </w:rPr>
        <w:t>Th</w:t>
      </w:r>
      <w:r w:rsidR="007D6504">
        <w:rPr>
          <w:rFonts w:ascii="Arial" w:eastAsia="Calibri" w:hAnsi="Arial" w:cs="Arial"/>
          <w:sz w:val="22"/>
          <w:szCs w:val="22"/>
        </w:rPr>
        <w:t xml:space="preserve">e 2019-2100 temperature </w:t>
      </w:r>
      <w:proofErr w:type="gramStart"/>
      <w:r w:rsidR="007D6504">
        <w:rPr>
          <w:rFonts w:ascii="Arial" w:eastAsia="Calibri" w:hAnsi="Arial" w:cs="Arial"/>
          <w:sz w:val="22"/>
          <w:szCs w:val="22"/>
        </w:rPr>
        <w:t>rise</w:t>
      </w:r>
      <w:proofErr w:type="gramEnd"/>
      <w:r w:rsidR="007D6504">
        <w:rPr>
          <w:rFonts w:ascii="Arial" w:eastAsia="Calibri" w:hAnsi="Arial" w:cs="Arial"/>
          <w:sz w:val="22"/>
          <w:szCs w:val="22"/>
        </w:rPr>
        <w:t xml:space="preserve"> is 0.63</w:t>
      </w:r>
      <w:r w:rsidR="00F31459">
        <w:rPr>
          <w:rFonts w:ascii="Arial" w:eastAsia="Calibri" w:hAnsi="Arial" w:cs="Arial"/>
          <w:sz w:val="22"/>
          <w:szCs w:val="22"/>
        </w:rPr>
        <w:t xml:space="preserve"> </w:t>
      </w:r>
      <w:r w:rsidR="00F31459" w:rsidRPr="00F31459">
        <w:rPr>
          <w:rFonts w:ascii="Arial" w:eastAsia="Calibri" w:hAnsi="Arial" w:cs="Arial"/>
          <w:sz w:val="22"/>
          <w:szCs w:val="22"/>
        </w:rPr>
        <w:t xml:space="preserve">°C </w:t>
      </w:r>
      <w:r w:rsidR="00F31459">
        <w:rPr>
          <w:rFonts w:ascii="Arial" w:eastAsia="Calibri" w:hAnsi="Arial" w:cs="Arial"/>
          <w:sz w:val="22"/>
          <w:szCs w:val="22"/>
        </w:rPr>
        <w:t xml:space="preserve">with a likely 17-83% range of 0.51 to 0.78 </w:t>
      </w:r>
      <w:r w:rsidR="00F31459">
        <w:rPr>
          <w:rFonts w:ascii="Calibri" w:eastAsia="Calibri" w:hAnsi="Calibri" w:cs="Calibri"/>
          <w:sz w:val="22"/>
          <w:szCs w:val="22"/>
        </w:rPr>
        <w:t>°</w:t>
      </w:r>
      <w:r w:rsidR="00F31459">
        <w:rPr>
          <w:rFonts w:ascii="Arial" w:eastAsia="Calibri" w:hAnsi="Arial" w:cs="Arial"/>
          <w:sz w:val="22"/>
          <w:szCs w:val="22"/>
        </w:rPr>
        <w:t>C.</w:t>
      </w:r>
    </w:p>
    <w:p w:rsidR="00750930" w:rsidRDefault="00392CFA" w:rsidP="00F92BB1">
      <w:pPr>
        <w:jc w:val="both"/>
        <w:rPr>
          <w:rFonts w:ascii="Arial" w:eastAsia="Calibri" w:hAnsi="Arial" w:cs="Arial"/>
          <w:sz w:val="22"/>
          <w:szCs w:val="22"/>
        </w:rPr>
      </w:pPr>
      <w:r w:rsidRPr="001E1A51">
        <w:rPr>
          <w:rFonts w:ascii="Arial" w:eastAsia="Calibri" w:hAnsi="Arial" w:cs="Arial"/>
          <w:noProof/>
          <w:sz w:val="28"/>
          <w:szCs w:val="28"/>
          <w:lang w:eastAsia="en-US"/>
        </w:rPr>
        <w:lastRenderedPageBreak/>
        <mc:AlternateContent>
          <mc:Choice Requires="wps">
            <w:drawing>
              <wp:inline distT="0" distB="0" distL="0" distR="0" wp14:anchorId="68249C2D" wp14:editId="5F88539F">
                <wp:extent cx="4784090" cy="4114800"/>
                <wp:effectExtent l="0" t="0" r="16510" b="19050"/>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090" cy="4114800"/>
                        </a:xfrm>
                        <a:prstGeom prst="rect">
                          <a:avLst/>
                        </a:prstGeom>
                        <a:solidFill>
                          <a:srgbClr val="FFFFFF"/>
                        </a:solidFill>
                        <a:ln w="9525">
                          <a:solidFill>
                            <a:srgbClr val="000000"/>
                          </a:solidFill>
                          <a:miter lim="800000"/>
                          <a:headEnd/>
                          <a:tailEnd/>
                        </a:ln>
                      </wps:spPr>
                      <wps:txbx>
                        <w:txbxContent>
                          <w:p w:rsidR="00392CFA" w:rsidRDefault="007D6504" w:rsidP="00392CFA">
                            <w:r>
                              <w:rPr>
                                <w:noProof/>
                                <w:lang w:eastAsia="en-US"/>
                              </w:rPr>
                              <w:drawing>
                                <wp:inline distT="0" distB="0" distL="0" distR="0">
                                  <wp:extent cx="4688958" cy="3402418"/>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Temp-Projection.jpg"/>
                                          <pic:cNvPicPr/>
                                        </pic:nvPicPr>
                                        <pic:blipFill>
                                          <a:blip r:embed="rId20">
                                            <a:extLst>
                                              <a:ext uri="{28A0092B-C50C-407E-A947-70E740481C1C}">
                                                <a14:useLocalDpi xmlns:a14="http://schemas.microsoft.com/office/drawing/2010/main" val="0"/>
                                              </a:ext>
                                            </a:extLst>
                                          </a:blip>
                                          <a:stretch>
                                            <a:fillRect/>
                                          </a:stretch>
                                        </pic:blipFill>
                                        <pic:spPr>
                                          <a:xfrm>
                                            <a:off x="0" y="0"/>
                                            <a:ext cx="4687432" cy="3401311"/>
                                          </a:xfrm>
                                          <a:prstGeom prst="rect">
                                            <a:avLst/>
                                          </a:prstGeom>
                                        </pic:spPr>
                                      </pic:pic>
                                    </a:graphicData>
                                  </a:graphic>
                                </wp:inline>
                              </w:drawing>
                            </w:r>
                          </w:p>
                          <w:p w:rsidR="00392CFA" w:rsidRDefault="00392CFA" w:rsidP="00392CFA">
                            <w:proofErr w:type="gramStart"/>
                            <w:r>
                              <w:t>Figure 8.</w:t>
                            </w:r>
                            <w:proofErr w:type="gramEnd"/>
                            <w:r>
                              <w:t xml:space="preserve">  </w:t>
                            </w:r>
                            <w:proofErr w:type="gramStart"/>
                            <w:r>
                              <w:t>Global temperature projection due to greenhouse gases.</w:t>
                            </w:r>
                            <w:proofErr w:type="gramEnd"/>
                            <w:r>
                              <w:t xml:space="preserve"> TCR and ECS are corrected from LC2018 to account for natural temperature change and the UHIE.</w:t>
                            </w:r>
                            <w:r w:rsidR="007D6504">
                              <w:t xml:space="preserve"> The </w:t>
                            </w:r>
                            <w:r w:rsidR="00F31459">
                              <w:t>forecast include the effect of past emissions.</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9" type="#_x0000_t202" style="width:376.7pt;height:3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">
                <v:textbox>
                  <w:txbxContent>
                    <w:p w:rsidR="00392CFA" w:rsidRDefault="007D6504" w:rsidP="00392CFA">
                      <w:r>
                        <w:rPr>
                          <w:noProof/>
                          <w:lang w:eastAsia="en-US"/>
                        </w:rPr>
                        <w:drawing>
                          <wp:inline distT="0" distB="0" distL="0" distR="0">
                            <wp:extent cx="4688958" cy="3402418"/>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Temp-Projection.jpg"/>
                                    <pic:cNvPicPr/>
                                  </pic:nvPicPr>
                                  <pic:blipFill>
                                    <a:blip r:embed="rId24">
                                      <a:extLst>
                                        <a:ext uri="{28A0092B-C50C-407E-A947-70E740481C1C}">
                                          <a14:useLocalDpi xmlns:a14="http://schemas.microsoft.com/office/drawing/2010/main" val="0"/>
                                        </a:ext>
                                      </a:extLst>
                                    </a:blip>
                                    <a:stretch>
                                      <a:fillRect/>
                                    </a:stretch>
                                  </pic:blipFill>
                                  <pic:spPr>
                                    <a:xfrm>
                                      <a:off x="0" y="0"/>
                                      <a:ext cx="4687432" cy="3401311"/>
                                    </a:xfrm>
                                    <a:prstGeom prst="rect">
                                      <a:avLst/>
                                    </a:prstGeom>
                                  </pic:spPr>
                                </pic:pic>
                              </a:graphicData>
                            </a:graphic>
                          </wp:inline>
                        </w:drawing>
                      </w:r>
                    </w:p>
                    <w:p w:rsidR="00392CFA" w:rsidRDefault="00392CFA" w:rsidP="00392CFA">
                      <w:proofErr w:type="gramStart"/>
                      <w:r>
                        <w:t>Figure 8.</w:t>
                      </w:r>
                      <w:proofErr w:type="gramEnd"/>
                      <w:r>
                        <w:t xml:space="preserve">  </w:t>
                      </w:r>
                      <w:proofErr w:type="gramStart"/>
                      <w:r>
                        <w:t>Global temperature projection due to greenhouse gases.</w:t>
                      </w:r>
                      <w:proofErr w:type="gramEnd"/>
                      <w:r>
                        <w:t xml:space="preserve"> TCR and ECS are corrected from LC2018 to account for natural temperature change and the UHIE.</w:t>
                      </w:r>
                      <w:r w:rsidR="007D6504">
                        <w:t xml:space="preserve"> The </w:t>
                      </w:r>
                      <w:r w:rsidR="00F31459">
                        <w:t>forecast include the effect of past emissions.</w:t>
                      </w:r>
                    </w:p>
                  </w:txbxContent>
                </v:textbox>
                <w10:anchorlock/>
              </v:shape>
            </w:pict>
          </mc:Fallback>
        </mc:AlternateContent>
      </w:r>
    </w:p>
    <w:p w:rsidR="001E1A51" w:rsidRDefault="000D6F9A" w:rsidP="00F92BB1">
      <w:pPr>
        <w:jc w:val="both"/>
        <w:rPr>
          <w:rFonts w:ascii="Arial" w:eastAsia="Calibri" w:hAnsi="Arial" w:cs="Arial"/>
          <w:sz w:val="22"/>
          <w:szCs w:val="22"/>
        </w:rPr>
      </w:pPr>
      <w:r w:rsidRPr="000D6F9A">
        <w:rPr>
          <w:rFonts w:ascii="Arial" w:eastAsia="Calibri" w:hAnsi="Arial" w:cs="Arial"/>
          <w:sz w:val="22"/>
          <w:szCs w:val="22"/>
        </w:rPr>
        <w:t xml:space="preserve">Note </w:t>
      </w:r>
      <w:r>
        <w:rPr>
          <w:rFonts w:ascii="Arial" w:eastAsia="Calibri" w:hAnsi="Arial" w:cs="Arial"/>
          <w:sz w:val="22"/>
          <w:szCs w:val="22"/>
        </w:rPr>
        <w:t>that the exponential GHG growth is offset by the logarithmic radiative forcing so that the temperature forecast is nearly a straight line.</w:t>
      </w:r>
    </w:p>
    <w:p w:rsidR="00F31459" w:rsidRPr="000D6F9A" w:rsidRDefault="00F31459" w:rsidP="00F92BB1">
      <w:pPr>
        <w:jc w:val="both"/>
        <w:rPr>
          <w:rFonts w:ascii="Arial" w:eastAsia="Calibri" w:hAnsi="Arial" w:cs="Arial"/>
          <w:sz w:val="22"/>
          <w:szCs w:val="22"/>
        </w:rPr>
      </w:pPr>
    </w:p>
    <w:p w:rsidR="00872C78" w:rsidRPr="00392CFA" w:rsidRDefault="00872C78" w:rsidP="00F92BB1">
      <w:pPr>
        <w:jc w:val="both"/>
        <w:rPr>
          <w:rFonts w:ascii="Arial" w:eastAsia="Calibri" w:hAnsi="Arial" w:cs="Arial"/>
          <w:b/>
          <w:sz w:val="28"/>
          <w:szCs w:val="28"/>
        </w:rPr>
      </w:pPr>
      <w:r w:rsidRPr="00392CFA">
        <w:rPr>
          <w:rFonts w:ascii="Arial" w:eastAsia="Calibri" w:hAnsi="Arial" w:cs="Arial"/>
          <w:b/>
          <w:sz w:val="28"/>
          <w:szCs w:val="28"/>
        </w:rPr>
        <w:t>Economic Impacts of Climate Change</w:t>
      </w:r>
    </w:p>
    <w:p w:rsidR="00F350BF" w:rsidRDefault="00961E00" w:rsidP="00F92BB1">
      <w:pPr>
        <w:jc w:val="both"/>
        <w:rPr>
          <w:rFonts w:ascii="Arial" w:eastAsia="Calibri" w:hAnsi="Arial" w:cs="Arial"/>
          <w:sz w:val="22"/>
          <w:szCs w:val="22"/>
        </w:rPr>
      </w:pPr>
      <w:r>
        <w:rPr>
          <w:rFonts w:ascii="Arial" w:eastAsia="Calibri" w:hAnsi="Arial" w:cs="Arial"/>
          <w:sz w:val="22"/>
          <w:szCs w:val="22"/>
        </w:rPr>
        <w:t xml:space="preserve">A paper </w:t>
      </w:r>
      <w:r w:rsidR="00327EA8">
        <w:rPr>
          <w:rFonts w:ascii="Arial" w:eastAsia="Calibri" w:hAnsi="Arial" w:cs="Arial"/>
          <w:sz w:val="22"/>
          <w:szCs w:val="22"/>
        </w:rPr>
        <w:t xml:space="preserve">published in </w:t>
      </w:r>
      <w:r w:rsidR="00327EA8" w:rsidRPr="00961E00">
        <w:rPr>
          <w:rFonts w:ascii="Arial" w:eastAsia="Calibri" w:hAnsi="Arial" w:cs="Arial"/>
          <w:i/>
          <w:sz w:val="22"/>
          <w:szCs w:val="22"/>
        </w:rPr>
        <w:t>Energies</w:t>
      </w:r>
      <w:r w:rsidR="00327EA8">
        <w:rPr>
          <w:rFonts w:ascii="Arial" w:eastAsia="Calibri" w:hAnsi="Arial" w:cs="Arial"/>
          <w:sz w:val="22"/>
          <w:szCs w:val="22"/>
        </w:rPr>
        <w:t xml:space="preserve"> by P</w:t>
      </w:r>
      <w:r>
        <w:rPr>
          <w:rFonts w:ascii="Arial" w:eastAsia="Calibri" w:hAnsi="Arial" w:cs="Arial"/>
          <w:sz w:val="22"/>
          <w:szCs w:val="22"/>
        </w:rPr>
        <w:t>eter</w:t>
      </w:r>
      <w:r w:rsidR="00327EA8">
        <w:rPr>
          <w:rFonts w:ascii="Arial" w:eastAsia="Calibri" w:hAnsi="Arial" w:cs="Arial"/>
          <w:sz w:val="22"/>
          <w:szCs w:val="22"/>
        </w:rPr>
        <w:t xml:space="preserve"> Lang and me</w:t>
      </w:r>
      <w:r w:rsidR="00F350BF">
        <w:rPr>
          <w:rStyle w:val="FootnoteReference"/>
          <w:rFonts w:ascii="Arial" w:eastAsia="Calibri" w:hAnsi="Arial" w:cs="Arial"/>
          <w:sz w:val="22"/>
          <w:szCs w:val="22"/>
        </w:rPr>
        <w:footnoteReference w:id="24"/>
      </w:r>
      <w:r w:rsidR="00327EA8">
        <w:rPr>
          <w:rFonts w:ascii="Arial" w:eastAsia="Calibri" w:hAnsi="Arial" w:cs="Arial"/>
          <w:sz w:val="22"/>
          <w:szCs w:val="22"/>
        </w:rPr>
        <w:t xml:space="preserve"> </w:t>
      </w:r>
      <w:r w:rsidR="00551291">
        <w:rPr>
          <w:rFonts w:ascii="Arial" w:eastAsia="Calibri" w:hAnsi="Arial" w:cs="Arial"/>
          <w:sz w:val="22"/>
          <w:szCs w:val="22"/>
        </w:rPr>
        <w:t xml:space="preserve">shows that </w:t>
      </w:r>
      <w:r w:rsidR="00515E07">
        <w:rPr>
          <w:rFonts w:ascii="Arial" w:eastAsia="Calibri" w:hAnsi="Arial" w:cs="Arial"/>
          <w:sz w:val="22"/>
          <w:szCs w:val="22"/>
        </w:rPr>
        <w:t xml:space="preserve">the impact of </w:t>
      </w:r>
      <w:r w:rsidR="00551291">
        <w:rPr>
          <w:rFonts w:ascii="Arial" w:eastAsia="Calibri" w:hAnsi="Arial" w:cs="Arial"/>
          <w:sz w:val="22"/>
          <w:szCs w:val="22"/>
        </w:rPr>
        <w:t xml:space="preserve">a 3 </w:t>
      </w:r>
      <w:r w:rsidR="00551291">
        <w:rPr>
          <w:rFonts w:ascii="Calibri" w:eastAsia="Calibri" w:hAnsi="Calibri" w:cs="Calibri"/>
          <w:sz w:val="22"/>
          <w:szCs w:val="22"/>
        </w:rPr>
        <w:t>°</w:t>
      </w:r>
      <w:r w:rsidR="00551291">
        <w:rPr>
          <w:rFonts w:ascii="Arial" w:eastAsia="Calibri" w:hAnsi="Arial" w:cs="Arial"/>
          <w:sz w:val="22"/>
          <w:szCs w:val="22"/>
        </w:rPr>
        <w:t xml:space="preserve">C temperature rise from 2000 </w:t>
      </w:r>
      <w:r w:rsidR="00515E07">
        <w:rPr>
          <w:rFonts w:ascii="Arial" w:eastAsia="Calibri" w:hAnsi="Arial" w:cs="Arial"/>
          <w:sz w:val="22"/>
          <w:szCs w:val="22"/>
        </w:rPr>
        <w:t xml:space="preserve">on USA energy expenditures </w:t>
      </w:r>
      <w:r w:rsidR="00551291">
        <w:rPr>
          <w:rFonts w:ascii="Arial" w:eastAsia="Calibri" w:hAnsi="Arial" w:cs="Arial"/>
          <w:sz w:val="22"/>
          <w:szCs w:val="22"/>
        </w:rPr>
        <w:t>would have a positive impact o</w:t>
      </w:r>
      <w:r>
        <w:rPr>
          <w:rFonts w:ascii="Arial" w:eastAsia="Calibri" w:hAnsi="Arial" w:cs="Arial"/>
          <w:sz w:val="22"/>
          <w:szCs w:val="22"/>
        </w:rPr>
        <w:t>n</w:t>
      </w:r>
      <w:r w:rsidR="00551291">
        <w:rPr>
          <w:rFonts w:ascii="Arial" w:eastAsia="Calibri" w:hAnsi="Arial" w:cs="Arial"/>
          <w:sz w:val="22"/>
          <w:szCs w:val="22"/>
        </w:rPr>
        <w:t xml:space="preserve"> USA economic wealth of +0.07% of gross domestic product (GDP) whereas the FUND model </w:t>
      </w:r>
      <w:r w:rsidR="00551291" w:rsidRPr="00551291">
        <w:rPr>
          <w:rFonts w:ascii="Arial" w:eastAsia="Calibri" w:hAnsi="Arial" w:cs="Arial"/>
          <w:sz w:val="22"/>
          <w:szCs w:val="22"/>
        </w:rPr>
        <w:t>projects a wealth impact of -0.80% of GDP, with</w:t>
      </w:r>
      <w:r w:rsidR="00551291">
        <w:rPr>
          <w:rFonts w:ascii="Arial" w:eastAsia="Calibri" w:hAnsi="Arial" w:cs="Arial"/>
          <w:sz w:val="22"/>
          <w:szCs w:val="22"/>
        </w:rPr>
        <w:t xml:space="preserve"> </w:t>
      </w:r>
      <w:r w:rsidR="00551291" w:rsidRPr="00551291">
        <w:rPr>
          <w:rFonts w:ascii="Arial" w:eastAsia="Calibri" w:hAnsi="Arial" w:cs="Arial"/>
          <w:sz w:val="22"/>
          <w:szCs w:val="22"/>
        </w:rPr>
        <w:t>non-temperature drivers held constant.</w:t>
      </w:r>
      <w:r w:rsidR="00551291" w:rsidRPr="00551291">
        <w:t xml:space="preserve"> </w:t>
      </w:r>
      <w:r w:rsidR="00551291" w:rsidRPr="00551291">
        <w:rPr>
          <w:rFonts w:ascii="Arial" w:eastAsia="Calibri" w:hAnsi="Arial" w:cs="Arial"/>
          <w:sz w:val="22"/>
          <w:szCs w:val="22"/>
        </w:rPr>
        <w:t xml:space="preserve">A paper by me (Gregory 2020) extends </w:t>
      </w:r>
      <w:r>
        <w:rPr>
          <w:rFonts w:ascii="Arial" w:eastAsia="Calibri" w:hAnsi="Arial" w:cs="Arial"/>
          <w:sz w:val="22"/>
          <w:szCs w:val="22"/>
        </w:rPr>
        <w:t>the</w:t>
      </w:r>
      <w:r w:rsidR="00551291" w:rsidRPr="00551291">
        <w:rPr>
          <w:rFonts w:ascii="Arial" w:eastAsia="Calibri" w:hAnsi="Arial" w:cs="Arial"/>
          <w:sz w:val="22"/>
          <w:szCs w:val="22"/>
        </w:rPr>
        <w:t xml:space="preserve"> analysis</w:t>
      </w:r>
      <w:r w:rsidR="00551291">
        <w:rPr>
          <w:rFonts w:ascii="Arial" w:eastAsia="Calibri" w:hAnsi="Arial" w:cs="Arial"/>
          <w:sz w:val="22"/>
          <w:szCs w:val="22"/>
        </w:rPr>
        <w:t xml:space="preserve"> </w:t>
      </w:r>
      <w:r>
        <w:rPr>
          <w:rFonts w:ascii="Arial" w:eastAsia="Calibri" w:hAnsi="Arial" w:cs="Arial"/>
          <w:sz w:val="22"/>
          <w:szCs w:val="22"/>
        </w:rPr>
        <w:t>to global impacts.</w:t>
      </w:r>
      <w:r>
        <w:rPr>
          <w:rStyle w:val="FootnoteReference"/>
          <w:rFonts w:ascii="Arial" w:eastAsia="Calibri" w:hAnsi="Arial" w:cs="Arial"/>
          <w:sz w:val="22"/>
          <w:szCs w:val="22"/>
        </w:rPr>
        <w:footnoteReference w:id="25"/>
      </w:r>
      <w:r>
        <w:rPr>
          <w:rFonts w:ascii="Arial" w:eastAsia="Calibri" w:hAnsi="Arial" w:cs="Arial"/>
          <w:sz w:val="22"/>
          <w:szCs w:val="22"/>
        </w:rPr>
        <w:t xml:space="preserve"> </w:t>
      </w:r>
      <w:r w:rsidR="00F350BF">
        <w:rPr>
          <w:rFonts w:ascii="Arial" w:eastAsia="Calibri" w:hAnsi="Arial" w:cs="Arial"/>
          <w:sz w:val="22"/>
          <w:szCs w:val="22"/>
        </w:rPr>
        <w:t xml:space="preserve">The paper shows that the FUND integrated assessment model calculates the impact of a 2 </w:t>
      </w:r>
      <w:r w:rsidR="00F350BF" w:rsidRPr="00F350BF">
        <w:rPr>
          <w:rFonts w:ascii="Arial" w:eastAsia="Calibri" w:hAnsi="Arial" w:cs="Arial"/>
          <w:sz w:val="22"/>
          <w:szCs w:val="22"/>
        </w:rPr>
        <w:t>°C</w:t>
      </w:r>
      <w:r w:rsidR="00F350BF">
        <w:rPr>
          <w:rFonts w:ascii="Arial" w:eastAsia="Calibri" w:hAnsi="Arial" w:cs="Arial"/>
          <w:sz w:val="22"/>
          <w:szCs w:val="22"/>
        </w:rPr>
        <w:t xml:space="preserve"> </w:t>
      </w:r>
      <w:r w:rsidR="00CA0C0E">
        <w:rPr>
          <w:rFonts w:ascii="Arial" w:eastAsia="Calibri" w:hAnsi="Arial" w:cs="Arial"/>
          <w:sz w:val="22"/>
          <w:szCs w:val="22"/>
        </w:rPr>
        <w:t>GMST</w:t>
      </w:r>
      <w:r w:rsidR="00F350BF">
        <w:rPr>
          <w:rFonts w:ascii="Arial" w:eastAsia="Calibri" w:hAnsi="Arial" w:cs="Arial"/>
          <w:sz w:val="22"/>
          <w:szCs w:val="22"/>
        </w:rPr>
        <w:t xml:space="preserve"> rise </w:t>
      </w:r>
      <w:r w:rsidR="00551291">
        <w:rPr>
          <w:rFonts w:ascii="Arial" w:eastAsia="Calibri" w:hAnsi="Arial" w:cs="Arial"/>
          <w:sz w:val="22"/>
          <w:szCs w:val="22"/>
        </w:rPr>
        <w:t>from 2000</w:t>
      </w:r>
      <w:r w:rsidR="00515E07">
        <w:rPr>
          <w:rFonts w:ascii="Arial" w:eastAsia="Calibri" w:hAnsi="Arial" w:cs="Arial"/>
          <w:sz w:val="22"/>
          <w:szCs w:val="22"/>
        </w:rPr>
        <w:t xml:space="preserve">, assuming an ECS of 1.0 </w:t>
      </w:r>
      <w:r w:rsidR="00515E07" w:rsidRPr="00A73D9E">
        <w:rPr>
          <w:rFonts w:ascii="Arial" w:eastAsia="Calibri" w:hAnsi="Arial" w:cs="Arial"/>
          <w:sz w:val="22"/>
          <w:szCs w:val="22"/>
        </w:rPr>
        <w:t>°C</w:t>
      </w:r>
      <w:r w:rsidR="00515E07">
        <w:rPr>
          <w:rFonts w:ascii="Arial" w:eastAsia="Calibri" w:hAnsi="Arial" w:cs="Arial"/>
          <w:sz w:val="22"/>
          <w:szCs w:val="22"/>
        </w:rPr>
        <w:t>,</w:t>
      </w:r>
      <w:r w:rsidR="00515E07" w:rsidRPr="00F350BF">
        <w:rPr>
          <w:rFonts w:ascii="Arial" w:eastAsia="Calibri" w:hAnsi="Arial" w:cs="Arial"/>
          <w:sz w:val="22"/>
          <w:szCs w:val="22"/>
        </w:rPr>
        <w:t xml:space="preserve"> </w:t>
      </w:r>
      <w:r w:rsidR="00F350BF" w:rsidRPr="00F350BF">
        <w:rPr>
          <w:rFonts w:ascii="Arial" w:eastAsia="Calibri" w:hAnsi="Arial" w:cs="Arial"/>
          <w:sz w:val="22"/>
          <w:szCs w:val="22"/>
        </w:rPr>
        <w:t xml:space="preserve">using empirical energy </w:t>
      </w:r>
      <w:r w:rsidR="00515E07">
        <w:rPr>
          <w:rFonts w:ascii="Arial" w:eastAsia="Calibri" w:hAnsi="Arial" w:cs="Arial"/>
          <w:sz w:val="22"/>
          <w:szCs w:val="22"/>
        </w:rPr>
        <w:t>impacts</w:t>
      </w:r>
      <w:r w:rsidR="00F350BF">
        <w:rPr>
          <w:rFonts w:ascii="Arial" w:eastAsia="Calibri" w:hAnsi="Arial" w:cs="Arial"/>
          <w:sz w:val="22"/>
          <w:szCs w:val="22"/>
        </w:rPr>
        <w:t xml:space="preserve"> </w:t>
      </w:r>
      <w:r w:rsidR="00A73D9E">
        <w:rPr>
          <w:rFonts w:ascii="Arial" w:eastAsia="Calibri" w:hAnsi="Arial" w:cs="Arial"/>
          <w:sz w:val="22"/>
          <w:szCs w:val="22"/>
        </w:rPr>
        <w:t xml:space="preserve">and including all other FUND impact sectors </w:t>
      </w:r>
      <w:r w:rsidR="00F350BF" w:rsidRPr="00F350BF">
        <w:rPr>
          <w:rFonts w:ascii="Arial" w:eastAsia="Calibri" w:hAnsi="Arial" w:cs="Arial"/>
          <w:sz w:val="22"/>
          <w:szCs w:val="22"/>
        </w:rPr>
        <w:t xml:space="preserve">would </w:t>
      </w:r>
      <w:r w:rsidR="00F350BF">
        <w:rPr>
          <w:rFonts w:ascii="Arial" w:eastAsia="Calibri" w:hAnsi="Arial" w:cs="Arial"/>
          <w:sz w:val="22"/>
          <w:szCs w:val="22"/>
        </w:rPr>
        <w:t xml:space="preserve">increase global wealth </w:t>
      </w:r>
      <w:r w:rsidR="00F350BF" w:rsidRPr="00F350BF">
        <w:rPr>
          <w:rFonts w:ascii="Arial" w:eastAsia="Calibri" w:hAnsi="Arial" w:cs="Arial"/>
          <w:sz w:val="22"/>
          <w:szCs w:val="22"/>
        </w:rPr>
        <w:t>b</w:t>
      </w:r>
      <w:r w:rsidR="00F350BF">
        <w:rPr>
          <w:rFonts w:ascii="Arial" w:eastAsia="Calibri" w:hAnsi="Arial" w:cs="Arial"/>
          <w:sz w:val="22"/>
          <w:szCs w:val="22"/>
        </w:rPr>
        <w:t>y</w:t>
      </w:r>
      <w:r w:rsidR="00F350BF" w:rsidRPr="00F350BF">
        <w:rPr>
          <w:rFonts w:ascii="Arial" w:eastAsia="Calibri" w:hAnsi="Arial" w:cs="Arial"/>
          <w:sz w:val="22"/>
          <w:szCs w:val="22"/>
        </w:rPr>
        <w:t xml:space="preserve"> +1.07%</w:t>
      </w:r>
      <w:r w:rsidR="00CD7D46">
        <w:rPr>
          <w:rFonts w:ascii="Arial" w:eastAsia="Calibri" w:hAnsi="Arial" w:cs="Arial"/>
          <w:sz w:val="22"/>
          <w:szCs w:val="22"/>
        </w:rPr>
        <w:t xml:space="preserve"> in 2147</w:t>
      </w:r>
      <w:r w:rsidR="00EF54B6">
        <w:rPr>
          <w:rFonts w:ascii="Arial" w:eastAsia="Calibri" w:hAnsi="Arial" w:cs="Arial"/>
          <w:sz w:val="22"/>
          <w:szCs w:val="22"/>
        </w:rPr>
        <w:t xml:space="preserve">, equivalent to </w:t>
      </w:r>
      <w:r w:rsidR="00EF54B6" w:rsidRPr="00EF54B6">
        <w:rPr>
          <w:rFonts w:ascii="Arial" w:eastAsia="Calibri" w:hAnsi="Arial" w:cs="Arial"/>
          <w:sz w:val="22"/>
          <w:szCs w:val="22"/>
          <w:vertAlign w:val="subscript"/>
        </w:rPr>
        <w:t>2019</w:t>
      </w:r>
      <w:r w:rsidR="00EF54B6">
        <w:rPr>
          <w:rFonts w:ascii="Arial" w:eastAsia="Calibri" w:hAnsi="Arial" w:cs="Arial"/>
          <w:sz w:val="22"/>
          <w:szCs w:val="22"/>
        </w:rPr>
        <w:t>US$</w:t>
      </w:r>
      <w:r w:rsidR="00196C36">
        <w:rPr>
          <w:rFonts w:ascii="Arial" w:eastAsia="Calibri" w:hAnsi="Arial" w:cs="Arial"/>
          <w:sz w:val="22"/>
          <w:szCs w:val="22"/>
        </w:rPr>
        <w:t>0.93 trillion</w:t>
      </w:r>
      <w:r w:rsidR="00515E07">
        <w:rPr>
          <w:rFonts w:ascii="Arial" w:eastAsia="Calibri" w:hAnsi="Arial" w:cs="Arial"/>
          <w:sz w:val="22"/>
          <w:szCs w:val="22"/>
        </w:rPr>
        <w:t xml:space="preserve">. </w:t>
      </w:r>
    </w:p>
    <w:p w:rsidR="00872C78" w:rsidRPr="00327EA8" w:rsidRDefault="00F350BF" w:rsidP="00F92BB1">
      <w:pPr>
        <w:jc w:val="both"/>
        <w:rPr>
          <w:rFonts w:ascii="Arial" w:eastAsia="Calibri" w:hAnsi="Arial" w:cs="Arial"/>
          <w:sz w:val="22"/>
          <w:szCs w:val="22"/>
        </w:rPr>
      </w:pPr>
      <w:r>
        <w:rPr>
          <w:rFonts w:ascii="Arial" w:eastAsia="Calibri" w:hAnsi="Arial" w:cs="Arial"/>
          <w:sz w:val="22"/>
          <w:szCs w:val="22"/>
        </w:rPr>
        <w:lastRenderedPageBreak/>
        <w:t xml:space="preserve">A paper </w:t>
      </w:r>
      <w:r w:rsidR="00A73D9E" w:rsidRPr="00A73D9E">
        <w:rPr>
          <w:rFonts w:ascii="Arial" w:eastAsia="Calibri" w:hAnsi="Arial" w:cs="Arial"/>
          <w:sz w:val="22"/>
          <w:szCs w:val="22"/>
        </w:rPr>
        <w:t xml:space="preserve">by </w:t>
      </w:r>
      <w:proofErr w:type="spellStart"/>
      <w:r w:rsidR="00A73D9E" w:rsidRPr="00A73D9E">
        <w:rPr>
          <w:rFonts w:ascii="Arial" w:eastAsia="Calibri" w:hAnsi="Arial" w:cs="Arial"/>
          <w:sz w:val="22"/>
          <w:szCs w:val="22"/>
        </w:rPr>
        <w:t>Dayaratna</w:t>
      </w:r>
      <w:proofErr w:type="spellEnd"/>
      <w:r w:rsidR="00A73D9E" w:rsidRPr="00A73D9E">
        <w:rPr>
          <w:rFonts w:ascii="Arial" w:eastAsia="Calibri" w:hAnsi="Arial" w:cs="Arial"/>
          <w:sz w:val="22"/>
          <w:szCs w:val="22"/>
        </w:rPr>
        <w:t xml:space="preserve">, </w:t>
      </w:r>
      <w:proofErr w:type="spellStart"/>
      <w:r w:rsidR="00A73D9E" w:rsidRPr="00A73D9E">
        <w:rPr>
          <w:rFonts w:ascii="Arial" w:eastAsia="Calibri" w:hAnsi="Arial" w:cs="Arial"/>
          <w:sz w:val="22"/>
          <w:szCs w:val="22"/>
        </w:rPr>
        <w:t>McKtrick</w:t>
      </w:r>
      <w:proofErr w:type="spellEnd"/>
      <w:r w:rsidR="00A73D9E" w:rsidRPr="00A73D9E">
        <w:rPr>
          <w:rFonts w:ascii="Arial" w:eastAsia="Calibri" w:hAnsi="Arial" w:cs="Arial"/>
          <w:sz w:val="22"/>
          <w:szCs w:val="22"/>
        </w:rPr>
        <w:t xml:space="preserve"> &amp; Michaels recommends that the CO</w:t>
      </w:r>
      <w:r w:rsidR="00A73D9E" w:rsidRPr="00A73D9E">
        <w:rPr>
          <w:rFonts w:ascii="Arial" w:eastAsia="Calibri" w:hAnsi="Arial" w:cs="Arial"/>
          <w:sz w:val="22"/>
          <w:szCs w:val="22"/>
          <w:vertAlign w:val="subscript"/>
        </w:rPr>
        <w:t>2</w:t>
      </w:r>
      <w:r w:rsidR="00A73D9E" w:rsidRPr="00A73D9E">
        <w:rPr>
          <w:rFonts w:ascii="Arial" w:eastAsia="Calibri" w:hAnsi="Arial" w:cs="Arial"/>
          <w:sz w:val="22"/>
          <w:szCs w:val="22"/>
        </w:rPr>
        <w:t xml:space="preserve"> fertilization effect in FUND be increased by 30% due to recent studies of the effect.</w:t>
      </w:r>
      <w:r w:rsidR="00A73D9E">
        <w:rPr>
          <w:rStyle w:val="FootnoteReference"/>
          <w:rFonts w:ascii="Arial" w:eastAsia="Calibri" w:hAnsi="Arial" w:cs="Arial"/>
          <w:sz w:val="22"/>
          <w:szCs w:val="22"/>
        </w:rPr>
        <w:footnoteReference w:id="26"/>
      </w:r>
      <w:r w:rsidR="00A73D9E">
        <w:rPr>
          <w:rFonts w:ascii="Arial" w:eastAsia="Calibri" w:hAnsi="Arial" w:cs="Arial"/>
          <w:sz w:val="22"/>
          <w:szCs w:val="22"/>
        </w:rPr>
        <w:t xml:space="preserve"> Incorporating this change in FUND</w:t>
      </w:r>
      <w:r w:rsidR="00515E07">
        <w:rPr>
          <w:rFonts w:ascii="Arial" w:eastAsia="Calibri" w:hAnsi="Arial" w:cs="Arial"/>
          <w:sz w:val="22"/>
          <w:szCs w:val="22"/>
        </w:rPr>
        <w:t xml:space="preserve"> with empirical energy impacts and assuming an ECS of </w:t>
      </w:r>
      <w:r w:rsidR="00515E07" w:rsidRPr="00515E07">
        <w:rPr>
          <w:rFonts w:ascii="Arial" w:eastAsia="Calibri" w:hAnsi="Arial" w:cs="Arial"/>
          <w:sz w:val="22"/>
          <w:szCs w:val="22"/>
        </w:rPr>
        <w:t>1.0 °C</w:t>
      </w:r>
      <w:r w:rsidR="00130C4F">
        <w:rPr>
          <w:rFonts w:ascii="Arial" w:eastAsia="Calibri" w:hAnsi="Arial" w:cs="Arial"/>
          <w:sz w:val="22"/>
          <w:szCs w:val="22"/>
        </w:rPr>
        <w:t xml:space="preserve"> shows that </w:t>
      </w:r>
      <w:r w:rsidR="00130C4F" w:rsidRPr="00130C4F">
        <w:rPr>
          <w:rFonts w:ascii="Arial" w:eastAsia="Calibri" w:hAnsi="Arial" w:cs="Arial"/>
          <w:sz w:val="22"/>
          <w:szCs w:val="22"/>
        </w:rPr>
        <w:t xml:space="preserve">a 2 °C </w:t>
      </w:r>
      <w:r w:rsidR="00130C4F">
        <w:rPr>
          <w:rFonts w:ascii="Arial" w:eastAsia="Calibri" w:hAnsi="Arial" w:cs="Arial"/>
          <w:sz w:val="22"/>
          <w:szCs w:val="22"/>
        </w:rPr>
        <w:t>GMST</w:t>
      </w:r>
      <w:r w:rsidR="00130C4F" w:rsidRPr="00130C4F">
        <w:rPr>
          <w:rFonts w:ascii="Arial" w:eastAsia="Calibri" w:hAnsi="Arial" w:cs="Arial"/>
          <w:sz w:val="22"/>
          <w:szCs w:val="22"/>
        </w:rPr>
        <w:t xml:space="preserve"> rise from 2000</w:t>
      </w:r>
      <w:r w:rsidR="00130C4F">
        <w:rPr>
          <w:rFonts w:ascii="Arial" w:eastAsia="Calibri" w:hAnsi="Arial" w:cs="Arial"/>
          <w:sz w:val="22"/>
          <w:szCs w:val="22"/>
        </w:rPr>
        <w:t xml:space="preserve"> would</w:t>
      </w:r>
      <w:r w:rsidR="00515E07">
        <w:rPr>
          <w:rFonts w:ascii="Arial" w:eastAsia="Calibri" w:hAnsi="Arial" w:cs="Arial"/>
          <w:sz w:val="22"/>
          <w:szCs w:val="22"/>
        </w:rPr>
        <w:t xml:space="preserve"> increase global wealth </w:t>
      </w:r>
      <w:r w:rsidR="00130C4F">
        <w:rPr>
          <w:rFonts w:ascii="Arial" w:eastAsia="Calibri" w:hAnsi="Arial" w:cs="Arial"/>
          <w:sz w:val="22"/>
          <w:szCs w:val="22"/>
        </w:rPr>
        <w:t>by</w:t>
      </w:r>
      <w:r w:rsidR="00515E07">
        <w:rPr>
          <w:rFonts w:ascii="Arial" w:eastAsia="Calibri" w:hAnsi="Arial" w:cs="Arial"/>
          <w:sz w:val="22"/>
          <w:szCs w:val="22"/>
        </w:rPr>
        <w:t xml:space="preserve"> 1.45%</w:t>
      </w:r>
      <w:r w:rsidR="00CD7D46">
        <w:rPr>
          <w:rFonts w:ascii="Arial" w:eastAsia="Calibri" w:hAnsi="Arial" w:cs="Arial"/>
          <w:sz w:val="22"/>
          <w:szCs w:val="22"/>
        </w:rPr>
        <w:t xml:space="preserve"> in 2147</w:t>
      </w:r>
      <w:r w:rsidR="00196C36">
        <w:rPr>
          <w:rFonts w:ascii="Arial" w:eastAsia="Calibri" w:hAnsi="Arial" w:cs="Arial"/>
          <w:sz w:val="22"/>
          <w:szCs w:val="22"/>
        </w:rPr>
        <w:t xml:space="preserve">, equivalent to </w:t>
      </w:r>
      <w:r w:rsidR="00196C36" w:rsidRPr="00196C36">
        <w:rPr>
          <w:rFonts w:ascii="Arial" w:eastAsia="Calibri" w:hAnsi="Arial" w:cs="Arial"/>
          <w:sz w:val="22"/>
          <w:szCs w:val="22"/>
          <w:vertAlign w:val="subscript"/>
        </w:rPr>
        <w:t>2019</w:t>
      </w:r>
      <w:r w:rsidR="00196C36">
        <w:rPr>
          <w:rFonts w:ascii="Arial" w:eastAsia="Calibri" w:hAnsi="Arial" w:cs="Arial"/>
          <w:sz w:val="22"/>
          <w:szCs w:val="22"/>
        </w:rPr>
        <w:t>US$1.26 trillion</w:t>
      </w:r>
      <w:r w:rsidR="00515E07">
        <w:rPr>
          <w:rFonts w:ascii="Arial" w:eastAsia="Calibri" w:hAnsi="Arial" w:cs="Arial"/>
          <w:sz w:val="22"/>
          <w:szCs w:val="22"/>
        </w:rPr>
        <w:t>.</w:t>
      </w:r>
      <w:r w:rsidR="00196C36">
        <w:rPr>
          <w:rStyle w:val="FootnoteReference"/>
          <w:rFonts w:ascii="Arial" w:eastAsia="Calibri" w:hAnsi="Arial" w:cs="Arial"/>
          <w:sz w:val="22"/>
          <w:szCs w:val="22"/>
        </w:rPr>
        <w:footnoteReference w:id="27"/>
      </w:r>
      <w:r w:rsidR="00A73D9E">
        <w:rPr>
          <w:rFonts w:ascii="Arial" w:eastAsia="Calibri" w:hAnsi="Arial" w:cs="Arial"/>
          <w:sz w:val="22"/>
          <w:szCs w:val="22"/>
        </w:rPr>
        <w:t xml:space="preserve"> </w:t>
      </w:r>
      <w:r w:rsidR="00130C4F">
        <w:rPr>
          <w:rFonts w:ascii="Arial" w:eastAsia="Calibri" w:hAnsi="Arial" w:cs="Arial"/>
          <w:sz w:val="22"/>
          <w:szCs w:val="22"/>
        </w:rPr>
        <w:t xml:space="preserve">The Gregory 2020 </w:t>
      </w:r>
      <w:r w:rsidR="00130C4F" w:rsidRPr="00130C4F">
        <w:rPr>
          <w:rFonts w:ascii="Arial" w:eastAsia="Calibri" w:hAnsi="Arial" w:cs="Arial"/>
          <w:sz w:val="22"/>
          <w:szCs w:val="22"/>
        </w:rPr>
        <w:t>study shows that CO</w:t>
      </w:r>
      <w:r w:rsidR="00130C4F" w:rsidRPr="00130C4F">
        <w:rPr>
          <w:rFonts w:ascii="Arial" w:eastAsia="Calibri" w:hAnsi="Arial" w:cs="Arial"/>
          <w:sz w:val="22"/>
          <w:szCs w:val="22"/>
          <w:vertAlign w:val="subscript"/>
        </w:rPr>
        <w:t>2</w:t>
      </w:r>
      <w:r w:rsidR="00130C4F" w:rsidRPr="00130C4F">
        <w:rPr>
          <w:rFonts w:ascii="Arial" w:eastAsia="Calibri" w:hAnsi="Arial" w:cs="Arial"/>
          <w:sz w:val="22"/>
          <w:szCs w:val="22"/>
        </w:rPr>
        <w:t xml:space="preserve"> emissions have a large social benefit, so policies to restrict CO</w:t>
      </w:r>
      <w:r w:rsidR="00130C4F" w:rsidRPr="00130C4F">
        <w:rPr>
          <w:rFonts w:ascii="Arial" w:eastAsia="Calibri" w:hAnsi="Arial" w:cs="Arial"/>
          <w:sz w:val="22"/>
          <w:szCs w:val="22"/>
          <w:vertAlign w:val="subscript"/>
        </w:rPr>
        <w:t>2</w:t>
      </w:r>
      <w:r w:rsidR="00130C4F" w:rsidRPr="00130C4F">
        <w:rPr>
          <w:rFonts w:ascii="Arial" w:eastAsia="Calibri" w:hAnsi="Arial" w:cs="Arial"/>
          <w:sz w:val="22"/>
          <w:szCs w:val="22"/>
        </w:rPr>
        <w:t xml:space="preserve"> emissions are harmful and misguided.</w:t>
      </w:r>
    </w:p>
    <w:p w:rsidR="00872C78" w:rsidRDefault="00872C78" w:rsidP="00F92BB1">
      <w:pPr>
        <w:jc w:val="both"/>
        <w:rPr>
          <w:rFonts w:ascii="Arial" w:eastAsia="Calibri" w:hAnsi="Arial" w:cs="Arial"/>
          <w:sz w:val="28"/>
          <w:szCs w:val="28"/>
        </w:rPr>
      </w:pPr>
    </w:p>
    <w:p w:rsidR="00DB57E3" w:rsidRPr="00392CFA" w:rsidRDefault="007313E0" w:rsidP="00F92BB1">
      <w:pPr>
        <w:jc w:val="both"/>
        <w:rPr>
          <w:rFonts w:ascii="Arial" w:eastAsia="Calibri" w:hAnsi="Arial" w:cs="Arial"/>
          <w:b/>
          <w:sz w:val="28"/>
          <w:szCs w:val="28"/>
        </w:rPr>
      </w:pPr>
      <w:r w:rsidRPr="00392CFA">
        <w:rPr>
          <w:rFonts w:ascii="Arial" w:eastAsia="Calibri" w:hAnsi="Arial" w:cs="Arial"/>
          <w:b/>
          <w:sz w:val="28"/>
          <w:szCs w:val="28"/>
        </w:rPr>
        <w:t>Discussion</w:t>
      </w:r>
      <w:r w:rsidR="00181031">
        <w:rPr>
          <w:rFonts w:ascii="Arial" w:eastAsia="Calibri" w:hAnsi="Arial" w:cs="Arial"/>
          <w:b/>
          <w:sz w:val="28"/>
          <w:szCs w:val="28"/>
        </w:rPr>
        <w:t xml:space="preserve"> and Conclusions</w:t>
      </w:r>
    </w:p>
    <w:p w:rsidR="007313E0" w:rsidRDefault="007520FF" w:rsidP="00F92BB1">
      <w:pPr>
        <w:jc w:val="both"/>
        <w:rPr>
          <w:rFonts w:ascii="Arial" w:eastAsia="Calibri" w:hAnsi="Arial" w:cs="Arial"/>
          <w:sz w:val="22"/>
          <w:szCs w:val="22"/>
        </w:rPr>
      </w:pPr>
      <w:r>
        <w:rPr>
          <w:rFonts w:ascii="Arial" w:eastAsia="Calibri" w:hAnsi="Arial" w:cs="Arial"/>
          <w:sz w:val="22"/>
          <w:szCs w:val="22"/>
        </w:rPr>
        <w:t>The paper LC2018 presents estimates of climate parameters ECS and TCR with full uncertainty analysis. Unfortunately</w:t>
      </w:r>
      <w:r w:rsidR="006C3930">
        <w:rPr>
          <w:rFonts w:ascii="Arial" w:eastAsia="Calibri" w:hAnsi="Arial" w:cs="Arial"/>
          <w:sz w:val="22"/>
          <w:szCs w:val="22"/>
        </w:rPr>
        <w:t>,</w:t>
      </w:r>
      <w:r>
        <w:rPr>
          <w:rFonts w:ascii="Arial" w:eastAsia="Calibri" w:hAnsi="Arial" w:cs="Arial"/>
          <w:sz w:val="22"/>
          <w:szCs w:val="22"/>
        </w:rPr>
        <w:t xml:space="preserve"> the analysis was deficient in that the natural climate change from the base to final periods were not considered and no correction was applied to remove the UHIE from the HadCRUT4 dataset. This study builds on the LC2018 study by removing the natural warming and the UHIE from the temperature change used to calculate the climate sensitivity parameters. </w:t>
      </w:r>
    </w:p>
    <w:p w:rsidR="00F757EF" w:rsidRDefault="007520FF" w:rsidP="00F92BB1">
      <w:pPr>
        <w:jc w:val="both"/>
        <w:rPr>
          <w:rFonts w:ascii="Arial" w:eastAsia="Calibri" w:hAnsi="Arial" w:cs="Arial"/>
          <w:sz w:val="22"/>
          <w:szCs w:val="22"/>
        </w:rPr>
      </w:pPr>
      <w:r>
        <w:rPr>
          <w:rFonts w:ascii="Arial" w:eastAsia="Calibri" w:hAnsi="Arial" w:cs="Arial"/>
          <w:sz w:val="22"/>
          <w:szCs w:val="22"/>
        </w:rPr>
        <w:t xml:space="preserve">Numerous studies have been published that show that there was substantial climate change prior to the start of significant GHE emissions. </w:t>
      </w:r>
      <w:r w:rsidR="008F5500">
        <w:rPr>
          <w:rFonts w:ascii="Arial" w:eastAsia="Calibri" w:hAnsi="Arial" w:cs="Arial"/>
          <w:sz w:val="22"/>
          <w:szCs w:val="22"/>
        </w:rPr>
        <w:t xml:space="preserve">The climate system was likely </w:t>
      </w:r>
      <w:r w:rsidR="00F757EF">
        <w:rPr>
          <w:rFonts w:ascii="Arial" w:eastAsia="Calibri" w:hAnsi="Arial" w:cs="Arial"/>
          <w:sz w:val="22"/>
          <w:szCs w:val="22"/>
        </w:rPr>
        <w:t xml:space="preserve">not </w:t>
      </w:r>
      <w:r w:rsidR="008F5500">
        <w:rPr>
          <w:rFonts w:ascii="Arial" w:eastAsia="Calibri" w:hAnsi="Arial" w:cs="Arial"/>
          <w:sz w:val="22"/>
          <w:szCs w:val="22"/>
        </w:rPr>
        <w:t xml:space="preserve">in temperature equilibrium during the base period of LC2018. This study estimates the natural warming from the base to final period which was a continuation of the natural recovery from the LIA, the coldest period of the last 10,000 years. </w:t>
      </w:r>
      <w:r w:rsidR="00A922A5">
        <w:rPr>
          <w:rFonts w:ascii="Arial" w:eastAsia="Calibri" w:hAnsi="Arial" w:cs="Arial"/>
          <w:sz w:val="22"/>
          <w:szCs w:val="22"/>
        </w:rPr>
        <w:t>N</w:t>
      </w:r>
      <w:r w:rsidR="00F757EF">
        <w:rPr>
          <w:rFonts w:ascii="Arial" w:eastAsia="Calibri" w:hAnsi="Arial" w:cs="Arial"/>
          <w:sz w:val="22"/>
          <w:szCs w:val="22"/>
        </w:rPr>
        <w:t xml:space="preserve">atural climate change includes solar forcing that is correlated with temperature as </w:t>
      </w:r>
      <w:r w:rsidR="00130C4F">
        <w:rPr>
          <w:rFonts w:ascii="Arial" w:eastAsia="Calibri" w:hAnsi="Arial" w:cs="Arial"/>
          <w:sz w:val="22"/>
          <w:szCs w:val="22"/>
        </w:rPr>
        <w:t>w</w:t>
      </w:r>
      <w:r w:rsidR="00F757EF">
        <w:rPr>
          <w:rFonts w:ascii="Arial" w:eastAsia="Calibri" w:hAnsi="Arial" w:cs="Arial"/>
          <w:sz w:val="22"/>
          <w:szCs w:val="22"/>
        </w:rPr>
        <w:t xml:space="preserve">ell as internal climate variability via ocean cycles. </w:t>
      </w:r>
      <w:r w:rsidR="002C27FE">
        <w:rPr>
          <w:rFonts w:ascii="Arial" w:eastAsia="Calibri" w:hAnsi="Arial" w:cs="Arial"/>
          <w:sz w:val="22"/>
          <w:szCs w:val="22"/>
        </w:rPr>
        <w:t>Two studies of global UHIE were used to estimate the UHIE correction from 1979. No studies are known to estimate the effect prior to 1979 but it is likely there was significant UHIE prior to 1979 which is not accounted for in this study.</w:t>
      </w:r>
    </w:p>
    <w:p w:rsidR="00B65753" w:rsidRDefault="008F5500" w:rsidP="00E30962">
      <w:pPr>
        <w:jc w:val="both"/>
        <w:rPr>
          <w:rFonts w:ascii="Arial" w:eastAsia="Calibri" w:hAnsi="Arial" w:cs="Arial"/>
          <w:sz w:val="22"/>
          <w:szCs w:val="22"/>
        </w:rPr>
      </w:pPr>
      <w:r>
        <w:rPr>
          <w:rFonts w:ascii="Arial" w:eastAsia="Calibri" w:hAnsi="Arial" w:cs="Arial"/>
          <w:sz w:val="22"/>
          <w:szCs w:val="22"/>
        </w:rPr>
        <w:t xml:space="preserve">Uncertainty estimates were assigned to several parameters used to estimate the UHIE and the natural warming. Corrected estimate of ECS and TCR with uncertainty </w:t>
      </w:r>
      <w:r w:rsidR="00806690">
        <w:rPr>
          <w:rFonts w:ascii="Arial" w:eastAsia="Calibri" w:hAnsi="Arial" w:cs="Arial"/>
          <w:sz w:val="22"/>
          <w:szCs w:val="22"/>
        </w:rPr>
        <w:t>CI</w:t>
      </w:r>
      <w:r>
        <w:rPr>
          <w:rFonts w:ascii="Arial" w:eastAsia="Calibri" w:hAnsi="Arial" w:cs="Arial"/>
          <w:sz w:val="22"/>
          <w:szCs w:val="22"/>
        </w:rPr>
        <w:t xml:space="preserve"> were calculated</w:t>
      </w:r>
      <w:r w:rsidR="000F3E2E">
        <w:rPr>
          <w:rFonts w:ascii="Arial" w:eastAsia="Calibri" w:hAnsi="Arial" w:cs="Arial"/>
          <w:sz w:val="22"/>
          <w:szCs w:val="22"/>
        </w:rPr>
        <w:t>. Compared to LC2018, the</w:t>
      </w:r>
      <w:r w:rsidR="00F757EF">
        <w:rPr>
          <w:rFonts w:ascii="Arial" w:eastAsia="Calibri" w:hAnsi="Arial" w:cs="Arial"/>
          <w:sz w:val="22"/>
          <w:szCs w:val="22"/>
        </w:rPr>
        <w:t xml:space="preserve"> corrected</w:t>
      </w:r>
      <w:r w:rsidR="000F3E2E">
        <w:rPr>
          <w:rFonts w:ascii="Arial" w:eastAsia="Calibri" w:hAnsi="Arial" w:cs="Arial"/>
          <w:sz w:val="22"/>
          <w:szCs w:val="22"/>
        </w:rPr>
        <w:t xml:space="preserve"> ECS and TCR median estimates were </w:t>
      </w:r>
      <w:r w:rsidR="00E30962">
        <w:rPr>
          <w:rFonts w:ascii="Arial" w:eastAsia="Calibri" w:hAnsi="Arial" w:cs="Arial"/>
          <w:sz w:val="22"/>
          <w:szCs w:val="22"/>
        </w:rPr>
        <w:t xml:space="preserve">both </w:t>
      </w:r>
      <w:r w:rsidR="000F3E2E">
        <w:rPr>
          <w:rFonts w:ascii="Arial" w:eastAsia="Calibri" w:hAnsi="Arial" w:cs="Arial"/>
          <w:sz w:val="22"/>
          <w:szCs w:val="22"/>
        </w:rPr>
        <w:t xml:space="preserve">reduced by </w:t>
      </w:r>
      <w:r w:rsidR="00E30962">
        <w:rPr>
          <w:rFonts w:ascii="Arial" w:eastAsia="Calibri" w:hAnsi="Arial" w:cs="Arial"/>
          <w:sz w:val="22"/>
          <w:szCs w:val="22"/>
        </w:rPr>
        <w:t>31%. The likely 17-83% uncertainty range</w:t>
      </w:r>
      <w:r w:rsidR="0080184F">
        <w:rPr>
          <w:rFonts w:ascii="Arial" w:eastAsia="Calibri" w:hAnsi="Arial" w:cs="Arial"/>
          <w:sz w:val="22"/>
          <w:szCs w:val="22"/>
        </w:rPr>
        <w:t>s</w:t>
      </w:r>
      <w:r w:rsidR="00E30962">
        <w:rPr>
          <w:rFonts w:ascii="Arial" w:eastAsia="Calibri" w:hAnsi="Arial" w:cs="Arial"/>
          <w:sz w:val="22"/>
          <w:szCs w:val="22"/>
        </w:rPr>
        <w:t xml:space="preserve"> </w:t>
      </w:r>
      <w:r w:rsidR="0080184F">
        <w:rPr>
          <w:rFonts w:ascii="Arial" w:eastAsia="Calibri" w:hAnsi="Arial" w:cs="Arial"/>
          <w:sz w:val="22"/>
          <w:szCs w:val="22"/>
        </w:rPr>
        <w:t xml:space="preserve">of TCR and ECS </w:t>
      </w:r>
      <w:r w:rsidR="00E30962">
        <w:rPr>
          <w:rFonts w:ascii="Arial" w:eastAsia="Calibri" w:hAnsi="Arial" w:cs="Arial"/>
          <w:sz w:val="22"/>
          <w:szCs w:val="22"/>
        </w:rPr>
        <w:t xml:space="preserve">as a fraction of the median increased </w:t>
      </w:r>
      <w:r w:rsidR="00281ADD">
        <w:rPr>
          <w:rFonts w:ascii="Arial" w:eastAsia="Calibri" w:hAnsi="Arial" w:cs="Arial"/>
          <w:sz w:val="22"/>
          <w:szCs w:val="22"/>
        </w:rPr>
        <w:t>by 40% and 30%</w:t>
      </w:r>
      <w:r w:rsidR="00130C4F">
        <w:rPr>
          <w:rFonts w:ascii="Arial" w:eastAsia="Calibri" w:hAnsi="Arial" w:cs="Arial"/>
          <w:sz w:val="22"/>
          <w:szCs w:val="22"/>
        </w:rPr>
        <w:t>, respectively,</w:t>
      </w:r>
      <w:r w:rsidR="00281ADD">
        <w:rPr>
          <w:rFonts w:ascii="Arial" w:eastAsia="Calibri" w:hAnsi="Arial" w:cs="Arial"/>
          <w:sz w:val="22"/>
          <w:szCs w:val="22"/>
        </w:rPr>
        <w:t xml:space="preserve"> compared to LC2018 due to </w:t>
      </w:r>
      <w:r w:rsidR="0080184F">
        <w:rPr>
          <w:rFonts w:ascii="Arial" w:eastAsia="Calibri" w:hAnsi="Arial" w:cs="Arial"/>
          <w:sz w:val="22"/>
          <w:szCs w:val="22"/>
        </w:rPr>
        <w:t xml:space="preserve">the </w:t>
      </w:r>
      <w:r w:rsidR="00281ADD">
        <w:rPr>
          <w:rFonts w:ascii="Arial" w:eastAsia="Calibri" w:hAnsi="Arial" w:cs="Arial"/>
          <w:sz w:val="22"/>
          <w:szCs w:val="22"/>
        </w:rPr>
        <w:t>considerable uncertaint</w:t>
      </w:r>
      <w:r w:rsidR="0080184F">
        <w:rPr>
          <w:rFonts w:ascii="Arial" w:eastAsia="Calibri" w:hAnsi="Arial" w:cs="Arial"/>
          <w:sz w:val="22"/>
          <w:szCs w:val="22"/>
        </w:rPr>
        <w:t>ies</w:t>
      </w:r>
      <w:r w:rsidR="00281ADD">
        <w:rPr>
          <w:rFonts w:ascii="Arial" w:eastAsia="Calibri" w:hAnsi="Arial" w:cs="Arial"/>
          <w:sz w:val="22"/>
          <w:szCs w:val="22"/>
        </w:rPr>
        <w:t xml:space="preserve"> of the UHIE and natural warming</w:t>
      </w:r>
      <w:r w:rsidR="0080184F">
        <w:rPr>
          <w:rFonts w:ascii="Arial" w:eastAsia="Calibri" w:hAnsi="Arial" w:cs="Arial"/>
          <w:sz w:val="22"/>
          <w:szCs w:val="22"/>
        </w:rPr>
        <w:t xml:space="preserve"> included in the analysis</w:t>
      </w:r>
      <w:r w:rsidR="00281ADD">
        <w:rPr>
          <w:rFonts w:ascii="Arial" w:eastAsia="Calibri" w:hAnsi="Arial" w:cs="Arial"/>
          <w:sz w:val="22"/>
          <w:szCs w:val="22"/>
        </w:rPr>
        <w:t>, but the actual likely uncertainty ranges decreased slightly.</w:t>
      </w:r>
    </w:p>
    <w:p w:rsidR="00181031" w:rsidRDefault="00181031" w:rsidP="00E30962">
      <w:pPr>
        <w:jc w:val="both"/>
        <w:rPr>
          <w:rFonts w:ascii="Arial" w:eastAsia="Calibri" w:hAnsi="Arial" w:cs="Arial"/>
          <w:sz w:val="22"/>
          <w:szCs w:val="22"/>
        </w:rPr>
      </w:pPr>
      <w:r>
        <w:rPr>
          <w:rFonts w:ascii="Arial" w:eastAsia="Calibri" w:hAnsi="Arial" w:cs="Arial"/>
          <w:sz w:val="22"/>
          <w:szCs w:val="22"/>
        </w:rPr>
        <w:t xml:space="preserve">The median (best estimate) of ECS and TCR are estimated at 1.04 </w:t>
      </w:r>
      <w:r w:rsidR="009967BF" w:rsidRPr="00281ADD">
        <w:rPr>
          <w:rFonts w:ascii="Arial" w:eastAsia="Calibri" w:hAnsi="Arial" w:cs="Arial"/>
          <w:sz w:val="22"/>
          <w:szCs w:val="22"/>
        </w:rPr>
        <w:t>°C</w:t>
      </w:r>
      <w:r w:rsidR="009967BF">
        <w:rPr>
          <w:rFonts w:ascii="Arial" w:eastAsia="Calibri" w:hAnsi="Arial" w:cs="Arial"/>
          <w:sz w:val="22"/>
          <w:szCs w:val="22"/>
        </w:rPr>
        <w:t xml:space="preserve"> and 0.83 </w:t>
      </w:r>
      <w:r w:rsidR="009967BF" w:rsidRPr="00281ADD">
        <w:rPr>
          <w:rFonts w:ascii="Arial" w:eastAsia="Calibri" w:hAnsi="Arial" w:cs="Arial"/>
          <w:sz w:val="22"/>
          <w:szCs w:val="22"/>
        </w:rPr>
        <w:t>°C</w:t>
      </w:r>
      <w:r w:rsidR="009967BF">
        <w:rPr>
          <w:rFonts w:ascii="Arial" w:eastAsia="Calibri" w:hAnsi="Arial" w:cs="Arial"/>
          <w:sz w:val="22"/>
          <w:szCs w:val="22"/>
        </w:rPr>
        <w:t>, respectively.</w:t>
      </w:r>
    </w:p>
    <w:p w:rsidR="00281ADD" w:rsidRDefault="00281ADD" w:rsidP="00E30962">
      <w:pPr>
        <w:jc w:val="both"/>
        <w:rPr>
          <w:rFonts w:ascii="Arial" w:eastAsia="Calibri" w:hAnsi="Arial" w:cs="Arial"/>
          <w:sz w:val="22"/>
          <w:szCs w:val="22"/>
        </w:rPr>
      </w:pPr>
      <w:r>
        <w:rPr>
          <w:rFonts w:ascii="Arial" w:eastAsia="Calibri" w:hAnsi="Arial" w:cs="Arial"/>
          <w:sz w:val="22"/>
          <w:szCs w:val="22"/>
        </w:rPr>
        <w:lastRenderedPageBreak/>
        <w:t>Using the corrected TCR and ECS median estimates, the temperature</w:t>
      </w:r>
      <w:r w:rsidR="00A922A5">
        <w:rPr>
          <w:rFonts w:ascii="Arial" w:eastAsia="Calibri" w:hAnsi="Arial" w:cs="Arial"/>
          <w:sz w:val="22"/>
          <w:szCs w:val="22"/>
        </w:rPr>
        <w:t>s</w:t>
      </w:r>
      <w:r>
        <w:rPr>
          <w:rFonts w:ascii="Arial" w:eastAsia="Calibri" w:hAnsi="Arial" w:cs="Arial"/>
          <w:sz w:val="22"/>
          <w:szCs w:val="22"/>
        </w:rPr>
        <w:t xml:space="preserve"> from 2019 to 2100 </w:t>
      </w:r>
      <w:r w:rsidR="00A922A5">
        <w:rPr>
          <w:rFonts w:ascii="Arial" w:eastAsia="Calibri" w:hAnsi="Arial" w:cs="Arial"/>
          <w:sz w:val="22"/>
          <w:szCs w:val="22"/>
        </w:rPr>
        <w:t>are</w:t>
      </w:r>
      <w:r>
        <w:rPr>
          <w:rFonts w:ascii="Arial" w:eastAsia="Calibri" w:hAnsi="Arial" w:cs="Arial"/>
          <w:sz w:val="22"/>
          <w:szCs w:val="22"/>
        </w:rPr>
        <w:t xml:space="preserve"> forecast to increase by 0.6</w:t>
      </w:r>
      <w:r w:rsidR="00993D0E">
        <w:rPr>
          <w:rFonts w:ascii="Arial" w:eastAsia="Calibri" w:hAnsi="Arial" w:cs="Arial"/>
          <w:sz w:val="22"/>
          <w:szCs w:val="22"/>
        </w:rPr>
        <w:t>3</w:t>
      </w:r>
      <w:r>
        <w:rPr>
          <w:rFonts w:ascii="Arial" w:eastAsia="Calibri" w:hAnsi="Arial" w:cs="Arial"/>
          <w:sz w:val="22"/>
          <w:szCs w:val="22"/>
        </w:rPr>
        <w:t xml:space="preserve"> </w:t>
      </w:r>
      <w:r w:rsidRPr="00281ADD">
        <w:rPr>
          <w:rFonts w:ascii="Arial" w:eastAsia="Calibri" w:hAnsi="Arial" w:cs="Arial"/>
          <w:sz w:val="22"/>
          <w:szCs w:val="22"/>
        </w:rPr>
        <w:t>°C</w:t>
      </w:r>
      <w:r w:rsidR="00180D71">
        <w:rPr>
          <w:rFonts w:ascii="Arial" w:eastAsia="Calibri" w:hAnsi="Arial" w:cs="Arial"/>
          <w:sz w:val="22"/>
          <w:szCs w:val="22"/>
        </w:rPr>
        <w:t>, assuming the GHG concentrations in the atmosphere increases exponentially</w:t>
      </w:r>
      <w:r>
        <w:rPr>
          <w:rFonts w:ascii="Arial" w:eastAsia="Calibri" w:hAnsi="Arial" w:cs="Arial"/>
          <w:sz w:val="22"/>
          <w:szCs w:val="22"/>
        </w:rPr>
        <w:t>.</w:t>
      </w:r>
      <w:r w:rsidRPr="00281ADD">
        <w:rPr>
          <w:rFonts w:ascii="Arial" w:eastAsia="Calibri" w:hAnsi="Arial" w:cs="Arial"/>
          <w:sz w:val="22"/>
          <w:szCs w:val="22"/>
        </w:rPr>
        <w:t xml:space="preserve"> </w:t>
      </w:r>
      <w:r w:rsidR="00180D71">
        <w:rPr>
          <w:rFonts w:ascii="Arial" w:eastAsia="Calibri" w:hAnsi="Arial" w:cs="Arial"/>
          <w:sz w:val="22"/>
          <w:szCs w:val="22"/>
        </w:rPr>
        <w:t>The estimate includes “warming in the pipeline” due to past emissions.</w:t>
      </w:r>
    </w:p>
    <w:p w:rsidR="00281ADD" w:rsidRDefault="00281ADD" w:rsidP="00E30962">
      <w:pPr>
        <w:jc w:val="both"/>
        <w:rPr>
          <w:rFonts w:ascii="Arial" w:eastAsia="Calibri" w:hAnsi="Arial" w:cs="Arial"/>
          <w:sz w:val="22"/>
          <w:szCs w:val="22"/>
        </w:rPr>
      </w:pPr>
      <w:r>
        <w:rPr>
          <w:rFonts w:ascii="Arial" w:eastAsia="Calibri" w:hAnsi="Arial" w:cs="Arial"/>
          <w:sz w:val="22"/>
          <w:szCs w:val="22"/>
        </w:rPr>
        <w:t>The policy implications of this study are substantial.</w:t>
      </w:r>
      <w:r w:rsidR="00180D71">
        <w:rPr>
          <w:rFonts w:ascii="Arial" w:eastAsia="Calibri" w:hAnsi="Arial" w:cs="Arial"/>
          <w:sz w:val="22"/>
          <w:szCs w:val="22"/>
        </w:rPr>
        <w:t xml:space="preserve"> If </w:t>
      </w:r>
      <w:r w:rsidR="00993D0E">
        <w:rPr>
          <w:rFonts w:ascii="Arial" w:eastAsia="Calibri" w:hAnsi="Arial" w:cs="Arial"/>
          <w:sz w:val="22"/>
          <w:szCs w:val="22"/>
        </w:rPr>
        <w:t xml:space="preserve">the pre-industrial surface temperature is defined as </w:t>
      </w:r>
      <w:r w:rsidR="00180D71">
        <w:rPr>
          <w:rFonts w:ascii="Arial" w:eastAsia="Calibri" w:hAnsi="Arial" w:cs="Arial"/>
          <w:sz w:val="22"/>
          <w:szCs w:val="22"/>
        </w:rPr>
        <w:t>the average of 1850</w:t>
      </w:r>
      <w:r w:rsidR="00872C78">
        <w:rPr>
          <w:rFonts w:ascii="Arial" w:eastAsia="Calibri" w:hAnsi="Arial" w:cs="Arial"/>
          <w:sz w:val="22"/>
          <w:szCs w:val="22"/>
        </w:rPr>
        <w:t xml:space="preserve"> to </w:t>
      </w:r>
      <w:r w:rsidR="00180D71">
        <w:rPr>
          <w:rFonts w:ascii="Arial" w:eastAsia="Calibri" w:hAnsi="Arial" w:cs="Arial"/>
          <w:sz w:val="22"/>
          <w:szCs w:val="22"/>
        </w:rPr>
        <w:t>1900</w:t>
      </w:r>
      <w:r w:rsidR="00993D0E">
        <w:rPr>
          <w:rFonts w:ascii="Arial" w:eastAsia="Calibri" w:hAnsi="Arial" w:cs="Arial"/>
          <w:sz w:val="22"/>
          <w:szCs w:val="22"/>
        </w:rPr>
        <w:t xml:space="preserve"> temperatures</w:t>
      </w:r>
      <w:r w:rsidR="00180D71">
        <w:rPr>
          <w:rFonts w:ascii="Arial" w:eastAsia="Calibri" w:hAnsi="Arial" w:cs="Arial"/>
          <w:sz w:val="22"/>
          <w:szCs w:val="22"/>
        </w:rPr>
        <w:t xml:space="preserve">, then warming from pre-industrial to 2019 was 1.05 </w:t>
      </w:r>
      <w:r w:rsidR="00180D71" w:rsidRPr="00281ADD">
        <w:rPr>
          <w:rFonts w:ascii="Arial" w:eastAsia="Calibri" w:hAnsi="Arial" w:cs="Arial"/>
          <w:sz w:val="22"/>
          <w:szCs w:val="22"/>
        </w:rPr>
        <w:t>°C</w:t>
      </w:r>
      <w:r w:rsidR="00180D71">
        <w:rPr>
          <w:rFonts w:ascii="Arial" w:eastAsia="Calibri" w:hAnsi="Arial" w:cs="Arial"/>
          <w:sz w:val="22"/>
          <w:szCs w:val="22"/>
        </w:rPr>
        <w:t xml:space="preserve"> according to HadCRUT4.6</w:t>
      </w:r>
      <w:r w:rsidR="00872C78">
        <w:rPr>
          <w:rFonts w:ascii="Arial" w:eastAsia="Calibri" w:hAnsi="Arial" w:cs="Arial"/>
          <w:sz w:val="22"/>
          <w:szCs w:val="22"/>
        </w:rPr>
        <w:t xml:space="preserve">. The total warming from </w:t>
      </w:r>
      <w:r w:rsidR="00872C78" w:rsidRPr="00872C78">
        <w:rPr>
          <w:rFonts w:ascii="Arial" w:eastAsia="Calibri" w:hAnsi="Arial" w:cs="Arial"/>
          <w:sz w:val="22"/>
          <w:szCs w:val="22"/>
        </w:rPr>
        <w:t>pre-industrial to 2</w:t>
      </w:r>
      <w:r w:rsidR="00872C78">
        <w:rPr>
          <w:rFonts w:ascii="Arial" w:eastAsia="Calibri" w:hAnsi="Arial" w:cs="Arial"/>
          <w:sz w:val="22"/>
          <w:szCs w:val="22"/>
        </w:rPr>
        <w:t>1</w:t>
      </w:r>
      <w:r w:rsidR="00872C78" w:rsidRPr="00872C78">
        <w:rPr>
          <w:rFonts w:ascii="Arial" w:eastAsia="Calibri" w:hAnsi="Arial" w:cs="Arial"/>
          <w:sz w:val="22"/>
          <w:szCs w:val="22"/>
        </w:rPr>
        <w:t>0</w:t>
      </w:r>
      <w:r w:rsidR="00872C78">
        <w:rPr>
          <w:rFonts w:ascii="Arial" w:eastAsia="Calibri" w:hAnsi="Arial" w:cs="Arial"/>
          <w:sz w:val="22"/>
          <w:szCs w:val="22"/>
        </w:rPr>
        <w:t>0 is forecast at 1.6</w:t>
      </w:r>
      <w:r w:rsidR="00993D0E">
        <w:rPr>
          <w:rFonts w:ascii="Arial" w:eastAsia="Calibri" w:hAnsi="Arial" w:cs="Arial"/>
          <w:sz w:val="22"/>
          <w:szCs w:val="22"/>
        </w:rPr>
        <w:t>8</w:t>
      </w:r>
      <w:r w:rsidR="00872C78">
        <w:rPr>
          <w:rFonts w:ascii="Arial" w:eastAsia="Calibri" w:hAnsi="Arial" w:cs="Arial"/>
          <w:sz w:val="22"/>
          <w:szCs w:val="22"/>
        </w:rPr>
        <w:t xml:space="preserve"> </w:t>
      </w:r>
      <w:r w:rsidR="00872C78" w:rsidRPr="00281ADD">
        <w:rPr>
          <w:rFonts w:ascii="Arial" w:eastAsia="Calibri" w:hAnsi="Arial" w:cs="Arial"/>
          <w:sz w:val="22"/>
          <w:szCs w:val="22"/>
        </w:rPr>
        <w:t>°C</w:t>
      </w:r>
      <w:r w:rsidR="00872C78">
        <w:rPr>
          <w:rFonts w:ascii="Arial" w:eastAsia="Calibri" w:hAnsi="Arial" w:cs="Arial"/>
          <w:sz w:val="22"/>
          <w:szCs w:val="22"/>
        </w:rPr>
        <w:t xml:space="preserve">. This is substantially below the Paris Agreement target of 2.0 </w:t>
      </w:r>
      <w:r w:rsidR="00872C78" w:rsidRPr="00281ADD">
        <w:rPr>
          <w:rFonts w:ascii="Arial" w:eastAsia="Calibri" w:hAnsi="Arial" w:cs="Arial"/>
          <w:sz w:val="22"/>
          <w:szCs w:val="22"/>
        </w:rPr>
        <w:t>°C</w:t>
      </w:r>
      <w:r w:rsidR="00872C78">
        <w:rPr>
          <w:rFonts w:ascii="Arial" w:eastAsia="Calibri" w:hAnsi="Arial" w:cs="Arial"/>
          <w:sz w:val="22"/>
          <w:szCs w:val="22"/>
        </w:rPr>
        <w:t>.</w:t>
      </w:r>
    </w:p>
    <w:p w:rsidR="00130C4F" w:rsidRDefault="00130C4F" w:rsidP="00E30962">
      <w:pPr>
        <w:jc w:val="both"/>
        <w:rPr>
          <w:rFonts w:ascii="Arial" w:eastAsia="Calibri" w:hAnsi="Arial" w:cs="Arial"/>
          <w:sz w:val="22"/>
          <w:szCs w:val="22"/>
        </w:rPr>
      </w:pPr>
      <w:r>
        <w:rPr>
          <w:rFonts w:ascii="Arial" w:eastAsia="Calibri" w:hAnsi="Arial" w:cs="Arial"/>
          <w:sz w:val="22"/>
          <w:szCs w:val="22"/>
        </w:rPr>
        <w:t xml:space="preserve">Economic analysis in Gregory 2020 shows that </w:t>
      </w:r>
      <w:r w:rsidR="0073299F">
        <w:rPr>
          <w:rFonts w:ascii="Arial" w:eastAsia="Calibri" w:hAnsi="Arial" w:cs="Arial"/>
          <w:sz w:val="22"/>
          <w:szCs w:val="22"/>
        </w:rPr>
        <w:t>the FUND economic model,</w:t>
      </w:r>
      <w:r>
        <w:rPr>
          <w:rFonts w:ascii="Arial" w:eastAsia="Calibri" w:hAnsi="Arial" w:cs="Arial"/>
          <w:sz w:val="22"/>
          <w:szCs w:val="22"/>
        </w:rPr>
        <w:t xml:space="preserve"> using updated energy impacts and CO</w:t>
      </w:r>
      <w:r w:rsidRPr="00130C4F">
        <w:rPr>
          <w:rFonts w:ascii="Arial" w:eastAsia="Calibri" w:hAnsi="Arial" w:cs="Arial"/>
          <w:sz w:val="22"/>
          <w:szCs w:val="22"/>
          <w:vertAlign w:val="subscript"/>
        </w:rPr>
        <w:t>2</w:t>
      </w:r>
      <w:r>
        <w:rPr>
          <w:rFonts w:ascii="Arial" w:eastAsia="Calibri" w:hAnsi="Arial" w:cs="Arial"/>
          <w:sz w:val="22"/>
          <w:szCs w:val="22"/>
        </w:rPr>
        <w:t xml:space="preserve"> fertilization effects</w:t>
      </w:r>
      <w:r w:rsidR="00181031">
        <w:rPr>
          <w:rFonts w:ascii="Arial" w:eastAsia="Calibri" w:hAnsi="Arial" w:cs="Arial"/>
          <w:sz w:val="22"/>
          <w:szCs w:val="22"/>
        </w:rPr>
        <w:t xml:space="preserve"> and assuming an ECS of 1.0 </w:t>
      </w:r>
      <w:r w:rsidR="00181031" w:rsidRPr="00281ADD">
        <w:rPr>
          <w:rFonts w:ascii="Arial" w:eastAsia="Calibri" w:hAnsi="Arial" w:cs="Arial"/>
          <w:sz w:val="22"/>
          <w:szCs w:val="22"/>
        </w:rPr>
        <w:t>°C</w:t>
      </w:r>
      <w:r w:rsidR="00181031">
        <w:rPr>
          <w:rFonts w:ascii="Arial" w:eastAsia="Calibri" w:hAnsi="Arial" w:cs="Arial"/>
          <w:sz w:val="22"/>
          <w:szCs w:val="22"/>
        </w:rPr>
        <w:t>,</w:t>
      </w:r>
      <w:r>
        <w:rPr>
          <w:rFonts w:ascii="Arial" w:eastAsia="Calibri" w:hAnsi="Arial" w:cs="Arial"/>
          <w:sz w:val="22"/>
          <w:szCs w:val="22"/>
        </w:rPr>
        <w:t xml:space="preserve"> a 2 </w:t>
      </w:r>
      <w:r w:rsidRPr="00281ADD">
        <w:rPr>
          <w:rFonts w:ascii="Arial" w:eastAsia="Calibri" w:hAnsi="Arial" w:cs="Arial"/>
          <w:sz w:val="22"/>
          <w:szCs w:val="22"/>
        </w:rPr>
        <w:t>°C</w:t>
      </w:r>
      <w:r>
        <w:rPr>
          <w:rFonts w:ascii="Arial" w:eastAsia="Calibri" w:hAnsi="Arial" w:cs="Arial"/>
          <w:sz w:val="22"/>
          <w:szCs w:val="22"/>
        </w:rPr>
        <w:t xml:space="preserve"> GMST rise from 2000 would increase global wealth by 1.45%</w:t>
      </w:r>
      <w:r w:rsidR="00CD7D46">
        <w:rPr>
          <w:rFonts w:ascii="Arial" w:eastAsia="Calibri" w:hAnsi="Arial" w:cs="Arial"/>
          <w:sz w:val="22"/>
          <w:szCs w:val="22"/>
        </w:rPr>
        <w:t xml:space="preserve"> in 2147</w:t>
      </w:r>
      <w:r w:rsidR="00901DA4">
        <w:rPr>
          <w:rFonts w:ascii="Arial" w:eastAsia="Calibri" w:hAnsi="Arial" w:cs="Arial"/>
          <w:sz w:val="22"/>
          <w:szCs w:val="22"/>
        </w:rPr>
        <w:t xml:space="preserve">, equivalent to </w:t>
      </w:r>
      <w:r w:rsidR="00901DA4" w:rsidRPr="00AA64C5">
        <w:rPr>
          <w:rFonts w:ascii="Arial" w:eastAsia="Calibri" w:hAnsi="Arial" w:cs="Arial"/>
          <w:sz w:val="22"/>
          <w:szCs w:val="22"/>
          <w:vertAlign w:val="subscript"/>
        </w:rPr>
        <w:t>2019</w:t>
      </w:r>
      <w:r w:rsidR="00901DA4">
        <w:rPr>
          <w:rFonts w:ascii="Arial" w:eastAsia="Calibri" w:hAnsi="Arial" w:cs="Arial"/>
          <w:sz w:val="22"/>
          <w:szCs w:val="22"/>
        </w:rPr>
        <w:t>US$1.26 trillion</w:t>
      </w:r>
      <w:r>
        <w:rPr>
          <w:rFonts w:ascii="Arial" w:eastAsia="Calibri" w:hAnsi="Arial" w:cs="Arial"/>
          <w:sz w:val="22"/>
          <w:szCs w:val="22"/>
        </w:rPr>
        <w:t>.</w:t>
      </w:r>
      <w:r w:rsidR="00181031">
        <w:rPr>
          <w:rFonts w:ascii="Arial" w:eastAsia="Calibri" w:hAnsi="Arial" w:cs="Arial"/>
          <w:sz w:val="22"/>
          <w:szCs w:val="22"/>
        </w:rPr>
        <w:t xml:space="preserve"> Therefore, GHG emissions are not a 21</w:t>
      </w:r>
      <w:r w:rsidR="00181031" w:rsidRPr="00181031">
        <w:rPr>
          <w:rFonts w:ascii="Arial" w:eastAsia="Calibri" w:hAnsi="Arial" w:cs="Arial"/>
          <w:sz w:val="22"/>
          <w:szCs w:val="22"/>
          <w:vertAlign w:val="superscript"/>
        </w:rPr>
        <w:t>st</w:t>
      </w:r>
      <w:r w:rsidR="00181031">
        <w:rPr>
          <w:rFonts w:ascii="Arial" w:eastAsia="Calibri" w:hAnsi="Arial" w:cs="Arial"/>
          <w:sz w:val="22"/>
          <w:szCs w:val="22"/>
        </w:rPr>
        <w:t xml:space="preserve"> century problem. All policies designed to reduce fossil fuel use should be repealed.</w:t>
      </w:r>
    </w:p>
    <w:p w:rsidR="00C86730" w:rsidRPr="00C86730" w:rsidRDefault="00C86730" w:rsidP="00E30962">
      <w:pPr>
        <w:jc w:val="both"/>
        <w:rPr>
          <w:rFonts w:ascii="Arial" w:eastAsia="Calibri" w:hAnsi="Arial" w:cs="Arial"/>
          <w:sz w:val="22"/>
          <w:szCs w:val="22"/>
        </w:rPr>
      </w:pPr>
      <w:r w:rsidRPr="00C86730">
        <w:rPr>
          <w:rFonts w:ascii="Arial" w:eastAsia="Calibri" w:hAnsi="Arial" w:cs="Arial"/>
          <w:sz w:val="22"/>
          <w:szCs w:val="22"/>
        </w:rPr>
        <w:t xml:space="preserve">Risk analysis was performed using the Argo </w:t>
      </w:r>
      <w:proofErr w:type="spellStart"/>
      <w:r w:rsidRPr="00C86730">
        <w:rPr>
          <w:rFonts w:ascii="Arial" w:eastAsia="Calibri" w:hAnsi="Arial" w:cs="Arial"/>
          <w:sz w:val="22"/>
          <w:szCs w:val="22"/>
        </w:rPr>
        <w:t>addin</w:t>
      </w:r>
      <w:proofErr w:type="spellEnd"/>
      <w:r w:rsidRPr="00C86730">
        <w:rPr>
          <w:rFonts w:ascii="Arial" w:eastAsia="Calibri" w:hAnsi="Arial" w:cs="Arial"/>
          <w:sz w:val="22"/>
          <w:szCs w:val="22"/>
        </w:rPr>
        <w:t xml:space="preserve"> for Excel</w:t>
      </w:r>
      <w:r w:rsidR="003E58EE">
        <w:rPr>
          <w:rFonts w:ascii="Arial" w:eastAsia="Calibri" w:hAnsi="Arial" w:cs="Arial"/>
          <w:sz w:val="22"/>
          <w:szCs w:val="22"/>
        </w:rPr>
        <w:t>.</w:t>
      </w:r>
      <w:r w:rsidR="001D2991">
        <w:rPr>
          <w:rFonts w:ascii="Arial" w:eastAsia="Calibri" w:hAnsi="Arial" w:cs="Arial"/>
          <w:sz w:val="22"/>
          <w:szCs w:val="22"/>
        </w:rPr>
        <w:t xml:space="preserve"> See the Excel file for data and calculations.</w:t>
      </w:r>
      <w:r w:rsidR="003E58EE">
        <w:rPr>
          <w:rStyle w:val="FootnoteReference"/>
          <w:rFonts w:ascii="Arial" w:eastAsia="Calibri" w:hAnsi="Arial" w:cs="Arial"/>
          <w:sz w:val="22"/>
          <w:szCs w:val="22"/>
        </w:rPr>
        <w:footnoteReference w:id="28"/>
      </w:r>
      <w:r w:rsidR="003E58EE">
        <w:rPr>
          <w:rFonts w:ascii="Arial" w:eastAsia="Calibri" w:hAnsi="Arial" w:cs="Arial"/>
          <w:sz w:val="22"/>
          <w:szCs w:val="22"/>
        </w:rPr>
        <w:t xml:space="preserve">  </w:t>
      </w:r>
    </w:p>
    <w:sectPr w:rsidR="00C86730" w:rsidRPr="00C86730" w:rsidSect="003B6B38">
      <w:headerReference w:type="even" r:id="rId25"/>
      <w:headerReference w:type="default" r:id="rId26"/>
      <w:footerReference w:type="even" r:id="rId27"/>
      <w:footerReference w:type="default" r:id="rId28"/>
      <w:pgSz w:w="12240" w:h="15840"/>
      <w:pgMar w:top="144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982" w:rsidRDefault="003F7982">
      <w:r>
        <w:separator/>
      </w:r>
    </w:p>
    <w:p w:rsidR="003F7982" w:rsidRDefault="003F7982"/>
    <w:p w:rsidR="003F7982" w:rsidRDefault="003F7982"/>
    <w:p w:rsidR="003F7982" w:rsidRDefault="003F7982"/>
    <w:p w:rsidR="003F7982" w:rsidRDefault="003F7982"/>
  </w:endnote>
  <w:endnote w:type="continuationSeparator" w:id="0">
    <w:p w:rsidR="003F7982" w:rsidRDefault="003F7982">
      <w:r>
        <w:continuationSeparator/>
      </w:r>
    </w:p>
    <w:p w:rsidR="003F7982" w:rsidRDefault="003F7982"/>
    <w:p w:rsidR="003F7982" w:rsidRDefault="003F7982"/>
    <w:p w:rsidR="003F7982" w:rsidRDefault="003F7982"/>
    <w:p w:rsidR="003F7982" w:rsidRDefault="003F7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80" w:rsidRDefault="00AE2880">
    <w:pPr>
      <w:jc w:val="right"/>
    </w:pPr>
  </w:p>
  <w:p w:rsidR="00AE2880" w:rsidRDefault="00AE2880">
    <w:pPr>
      <w:jc w:val="right"/>
    </w:pPr>
    <w:r>
      <w:fldChar w:fldCharType="begin"/>
    </w:r>
    <w:r>
      <w:instrText xml:space="preserve"> PAGE   \* MERGEFORMAT </w:instrText>
    </w:r>
    <w:r>
      <w:fldChar w:fldCharType="separate"/>
    </w:r>
    <w:r w:rsidR="003B6B38">
      <w:rPr>
        <w:noProof/>
      </w:rPr>
      <w:t>14</w:t>
    </w:r>
    <w:r>
      <w:rPr>
        <w:noProof/>
      </w:rPr>
      <w:fldChar w:fldCharType="end"/>
    </w:r>
    <w:r>
      <w:t xml:space="preserve"> </w:t>
    </w:r>
    <w:r>
      <w:rPr>
        <w:color w:val="A04DA3" w:themeColor="accent3"/>
      </w:rPr>
      <w:sym w:font="Wingdings 2" w:char="F097"/>
    </w:r>
    <w:r>
      <w:t xml:space="preserve"> </w:t>
    </w:r>
  </w:p>
  <w:p w:rsidR="00AE2880" w:rsidRDefault="00AE2880">
    <w:pPr>
      <w:jc w:val="right"/>
    </w:pPr>
    <w:r>
      <w:rPr>
        <w:noProof/>
        <w:lang w:eastAsia="en-US"/>
      </w:rPr>
      <mc:AlternateContent>
        <mc:Choice Requires="wpg">
          <w:drawing>
            <wp:inline distT="0" distB="0" distL="0" distR="0" wp14:anchorId="0AEC7BE2" wp14:editId="2D593963">
              <wp:extent cx="2327910" cy="45085"/>
              <wp:effectExtent l="9525" t="9525" r="15240" b="12065"/>
              <wp:docPr id="7"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45085"/>
                        <a:chOff x="7606" y="15084"/>
                        <a:chExt cx="3666" cy="71"/>
                      </a:xfrm>
                    </wpg:grpSpPr>
                    <wps:wsp>
                      <wps:cNvPr id="8" name="AutoShape 24"/>
                      <wps:cNvCnPr>
                        <a:cxnSpLocks noChangeShapeType="1"/>
                      </wps:cNvCnPr>
                      <wps:spPr bwMode="auto">
                        <a:xfrm rot="10800000">
                          <a:off x="8548" y="15084"/>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9" name="AutoShape 25"/>
                      <wps:cNvCnPr>
                        <a:cxnSpLocks noChangeShapeType="1"/>
                      </wps:cNvCnPr>
                      <wps:spPr bwMode="auto">
                        <a:xfrm rot="10800000">
                          <a:off x="7606" y="15155"/>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3"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">
              <v:shapetype id="_x0000_t32" coordsize="21600,21600" o:spt="32" o:oned="t" path="m,l21600,21600e" filled="f">
                <v:path arrowok="t" fillok="f" o:connecttype="none"/>
                <o:lock v:ext="edit" shapetype="t"/>
              </v:shapetype>
              <v:shape id="AutoShape 24"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MzfMAAAADaAAAADwAAAGRycy9kb3ducmV2LnhtbERPTWvCQBC9C/0PyxS8SN1EpJTUVYoi&#10;iGBLbbwP2WkSmp0N2dUk/vrOodDj432vNoNr1I26UHs2kM4TUMSFtzWXBvKv/dMLqBCRLTaeycBI&#10;ATbrh8kKM+t7/qTbOZZKQjhkaKCKsc20DkVFDsPct8TCffvOYRTYldp22Eu4a/QiSZ61w5qlocKW&#10;thUVP+erk97Zx/XY38ecxh2l78tTcrmkuTHTx+HtFVSkIf6L/9wHa0C2yhW5AXr9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ijM3zAAAAA2gAAAA8AAAAAAAAAAAAAAAAA&#10;oQIAAGRycy9kb3ducmV2LnhtbFBLBQYAAAAABAAEAPkAAACOAwAAAAA=&#10;" strokecolor="#438086 [3205]" strokeweight="1.5pt"/>
              <v:shape id="AutoShape 25"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bk08QAAADaAAAADwAAAGRycy9kb3ducmV2LnhtbESPzWrDMBCE74G+g9hCbolcH5rEiWzS&#10;UkOhveTnkONirW0Ra2UsNXH69FWgkOMwM98wm2K0nbjQ4I1jBS/zBARx5bThRsHxUM6WIHxA1tg5&#10;JgU38lDkT5MNZtpdeUeXfWhEhLDPUEEbQp9J6auWLPq564mjV7vBYohyaKQe8BrhtpNpkrxKi4bj&#10;Qos9vbdUnfc/VkH9lZyOWNcL87Y0Mi3Lw3f68avU9HncrkEEGsMj/N/+1ApWcL8Sb4D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NuTTxAAAANoAAAAPAAAAAAAAAAAA&#10;AAAAAKECAABkcnMvZG93bnJldi54bWxQSwUGAAAAAAQABAD5AAAAkgMAAAAA&#10;" strokecolor="#438086 [3205]" strokeweight=".25pt"/>
              <w10:anchorlock/>
            </v:group>
          </w:pict>
        </mc:Fallback>
      </mc:AlternateContent>
    </w:r>
  </w:p>
  <w:p w:rsidR="00AE2880" w:rsidRDefault="00AE2880">
    <w:pPr>
      <w:pStyle w:val="NoSpacing"/>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880" w:rsidRDefault="00AE2880">
    <w:pPr>
      <w:jc w:val="right"/>
    </w:pPr>
    <w:r>
      <w:fldChar w:fldCharType="begin"/>
    </w:r>
    <w:r>
      <w:instrText xml:space="preserve"> PAGE   \* MERGEFORMAT </w:instrText>
    </w:r>
    <w:r>
      <w:fldChar w:fldCharType="separate"/>
    </w:r>
    <w:r w:rsidR="001D2991">
      <w:rPr>
        <w:noProof/>
      </w:rPr>
      <w:t>1</w:t>
    </w:r>
    <w:r>
      <w:rPr>
        <w:noProof/>
      </w:rPr>
      <w:fldChar w:fldCharType="end"/>
    </w:r>
    <w:r>
      <w:t xml:space="preserve"> </w:t>
    </w:r>
    <w:r>
      <w:rPr>
        <w:color w:val="A04DA3" w:themeColor="accent3"/>
      </w:rPr>
      <w:sym w:font="Wingdings 2" w:char="F097"/>
    </w:r>
    <w:r>
      <w:t xml:space="preserve"> </w:t>
    </w:r>
  </w:p>
  <w:p w:rsidR="00AE2880" w:rsidRDefault="00AE2880">
    <w:pPr>
      <w:jc w:val="right"/>
    </w:pPr>
    <w:r>
      <w:rPr>
        <w:noProof/>
        <w:lang w:eastAsia="en-US"/>
      </w:rPr>
      <mc:AlternateContent>
        <mc:Choice Requires="wpg">
          <w:drawing>
            <wp:inline distT="0" distB="0" distL="0" distR="0" wp14:anchorId="52FB4BDA" wp14:editId="0D99CF94">
              <wp:extent cx="2327910" cy="45085"/>
              <wp:effectExtent l="9525" t="9525" r="15240" b="12065"/>
              <wp:docPr id="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27910" cy="45085"/>
                        <a:chOff x="7606" y="15084"/>
                        <a:chExt cx="3666" cy="71"/>
                      </a:xfrm>
                    </wpg:grpSpPr>
                    <wps:wsp>
                      <wps:cNvPr id="3" name="AutoShape 21"/>
                      <wps:cNvCnPr>
                        <a:cxnSpLocks noChangeShapeType="1"/>
                      </wps:cNvCnPr>
                      <wps:spPr bwMode="auto">
                        <a:xfrm rot="10800000">
                          <a:off x="8548" y="15084"/>
                          <a:ext cx="2723" cy="0"/>
                        </a:xfrm>
                        <a:prstGeom prst="straightConnector1">
                          <a:avLst/>
                        </a:prstGeom>
                        <a:noFill/>
                        <a:ln w="19050">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s:wsp>
                      <wps:cNvPr id="5" name="AutoShape 22"/>
                      <wps:cNvCnPr>
                        <a:cxnSpLocks noChangeShapeType="1"/>
                      </wps:cNvCnPr>
                      <wps:spPr bwMode="auto">
                        <a:xfrm rot="10800000">
                          <a:off x="7606" y="15155"/>
                          <a:ext cx="3666" cy="0"/>
                        </a:xfrm>
                        <a:prstGeom prst="straightConnector1">
                          <a:avLst/>
                        </a:prstGeom>
                        <a:noFill/>
                        <a:ln w="3175">
                          <a:solidFill>
                            <a:schemeClr val="accent2">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0" o:spid="_x0000_s1026" style="width:183.3pt;height:3.55pt;mso-position-horizontal-relative:char;mso-position-vertical-relative:line" coordorigin="7606,15084" coordsize="36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">
              <v:shapetype id="_x0000_t32" coordsize="21600,21600" o:spt="32" o:oned="t" path="m,l21600,21600e" filled="f">
                <v:path arrowok="t" fillok="f" o:connecttype="none"/>
                <o:lock v:ext="edit" shapetype="t"/>
              </v:shapetype>
              <v:shape id="AutoShape 21" o:spid="_x0000_s1027" type="#_x0000_t32" style="position:absolute;left:8548;top:15084;width:2723;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ehDcIAAADaAAAADwAAAGRycy9kb3ducmV2LnhtbESPX2vCMBTF3wd+h3CFvYimdUOkGkU2&#10;hDHYRK3vl+baFpub0kTb+unNQNjj4fz5cZbrzlTiRo0rLSuIJxEI4szqknMF6XE7noNwHlljZZkU&#10;9ORgvRq8LDHRtuU93Q4+F2GEXYIKCu/rREqXFWTQTWxNHLyzbQz6IJtc6gbbMG4qOY2imTRYciAU&#10;WNNHQdnlcDWBO9pdv9t7n1L/SfHv+090OsWpUq/DbrMA4anz/+Fn+0sreIO/K+EGyN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gehDcIAAADaAAAADwAAAAAAAAAAAAAA&#10;AAChAgAAZHJzL2Rvd25yZXYueG1sUEsFBgAAAAAEAAQA+QAAAJADAAAAAA==&#10;" strokecolor="#438086 [3205]" strokeweight="1.5pt"/>
              <v:shape id="AutoShape 22" o:spid="_x0000_s1028" type="#_x0000_t32" style="position:absolute;left:7606;top:15155;width:3666;height:0;rotation:1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vu1sMAAADaAAAADwAAAGRycy9kb3ducmV2LnhtbESPQWvCQBSE7wX/w/IEb3XTgK2k2UgV&#10;A0J7qXrw+Mi+JEuzb0N21dhf3y0IHoeZ+YbJV6PtxIUGbxwreJknIIgrpw03Co6H8nkJwgdkjZ1j&#10;UnAjD6ti8pRjpt2Vv+myD42IEPYZKmhD6DMpfdWSRT93PXH0ajdYDFEOjdQDXiPcdjJNkldp0XBc&#10;aLGnTUvVz/5sFdSfyemIdf1m1ksj07I8fKXbX6Vm0/HjHUSgMTzC9/ZOK1jA/5V4A2T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77tbDAAAA2gAAAA8AAAAAAAAAAAAA&#10;AAAAoQIAAGRycy9kb3ducmV2LnhtbFBLBQYAAAAABAAEAPkAAACRAwAAAAA=&#10;" strokecolor="#438086 [3205]" strokeweight=".25pt"/>
              <w10:anchorlock/>
            </v:group>
          </w:pict>
        </mc:Fallback>
      </mc:AlternateContent>
    </w:r>
  </w:p>
  <w:p w:rsidR="00AE2880" w:rsidRDefault="00AE2880">
    <w:pPr>
      <w:pStyle w:val="NoSpacing"/>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982" w:rsidRDefault="003F7982">
      <w:r>
        <w:separator/>
      </w:r>
    </w:p>
  </w:footnote>
  <w:footnote w:type="continuationSeparator" w:id="0">
    <w:p w:rsidR="003F7982" w:rsidRDefault="003F7982">
      <w:r>
        <w:continuationSeparator/>
      </w:r>
    </w:p>
  </w:footnote>
  <w:footnote w:type="continuationNotice" w:id="1">
    <w:p w:rsidR="003F7982" w:rsidRDefault="003F7982">
      <w:pPr>
        <w:spacing w:after="0" w:line="240" w:lineRule="auto"/>
      </w:pPr>
    </w:p>
  </w:footnote>
  <w:footnote w:id="2">
    <w:p w:rsidR="00AE2880" w:rsidRDefault="00AE2880">
      <w:pPr>
        <w:pStyle w:val="FootnoteText"/>
      </w:pPr>
      <w:r>
        <w:rPr>
          <w:rStyle w:val="FootnoteReference"/>
        </w:rPr>
        <w:footnoteRef/>
      </w:r>
      <w:r>
        <w:t xml:space="preserve"> N. </w:t>
      </w:r>
      <w:r w:rsidRPr="00C25527">
        <w:t>Lewis and J. Curry, 2018</w:t>
      </w:r>
      <w:r>
        <w:t>, “</w:t>
      </w:r>
      <w:r w:rsidRPr="00C25527">
        <w:t>The impact of recent forcing and ocean heat uptake data on estimates of climate sensitivity</w:t>
      </w:r>
      <w:r>
        <w:t>”</w:t>
      </w:r>
      <w:proofErr w:type="gramStart"/>
      <w:r>
        <w:t xml:space="preserve">, </w:t>
      </w:r>
      <w:r w:rsidRPr="00C25527">
        <w:t xml:space="preserve"> </w:t>
      </w:r>
      <w:r w:rsidRPr="00884A61">
        <w:rPr>
          <w:i/>
        </w:rPr>
        <w:t>Journal</w:t>
      </w:r>
      <w:proofErr w:type="gramEnd"/>
      <w:r w:rsidRPr="00884A61">
        <w:rPr>
          <w:i/>
        </w:rPr>
        <w:t xml:space="preserve"> of Climate</w:t>
      </w:r>
      <w:r>
        <w:t xml:space="preserve">, </w:t>
      </w:r>
      <w:r w:rsidRPr="00C25527">
        <w:t>JCLI-D-17-0667</w:t>
      </w:r>
      <w:r>
        <w:t xml:space="preserve">. </w:t>
      </w:r>
      <w:hyperlink r:id="rId1" w:history="1">
        <w:r w:rsidRPr="00C25527">
          <w:rPr>
            <w:rStyle w:val="Hyperlink"/>
          </w:rPr>
          <w:t>https://niclewis.files.wordpress.com/2018/04/lewis_and_curry_jcli-d-17-0667_accepted.pdf</w:t>
        </w:r>
      </w:hyperlink>
    </w:p>
  </w:footnote>
  <w:footnote w:id="3">
    <w:p w:rsidR="00AE2880" w:rsidRDefault="00AE2880">
      <w:pPr>
        <w:pStyle w:val="FootnoteText"/>
      </w:pPr>
      <w:r>
        <w:rPr>
          <w:rStyle w:val="FootnoteReference"/>
        </w:rPr>
        <w:footnoteRef/>
      </w:r>
      <w:r>
        <w:t xml:space="preserve"> </w:t>
      </w:r>
      <w:r w:rsidRPr="00C25527">
        <w:t>H. Yang and J. Zhu, 2011</w:t>
      </w:r>
      <w:r>
        <w:t>, “</w:t>
      </w:r>
      <w:r w:rsidRPr="00043E8C">
        <w:t>Equilibrium thermal response timescale of global oceans</w:t>
      </w:r>
      <w:r>
        <w:t xml:space="preserve">”, </w:t>
      </w:r>
      <w:r w:rsidRPr="00884A61">
        <w:rPr>
          <w:i/>
        </w:rPr>
        <w:t>Geophysical Research Letters</w:t>
      </w:r>
      <w:r>
        <w:t xml:space="preserve">, Vol. 28, Issue 14. </w:t>
      </w:r>
      <w:hyperlink r:id="rId2" w:history="1">
        <w:r w:rsidRPr="00C25527">
          <w:rPr>
            <w:rStyle w:val="Hyperlink"/>
          </w:rPr>
          <w:t>https://doi.org/10.1029/2011GL048076</w:t>
        </w:r>
      </w:hyperlink>
    </w:p>
  </w:footnote>
  <w:footnote w:id="4">
    <w:p w:rsidR="00AE2880" w:rsidRDefault="00AE2880">
      <w:pPr>
        <w:pStyle w:val="FootnoteText"/>
      </w:pPr>
      <w:r>
        <w:rPr>
          <w:rStyle w:val="FootnoteReference"/>
        </w:rPr>
        <w:footnoteRef/>
      </w:r>
      <w:r>
        <w:t xml:space="preserve"> </w:t>
      </w:r>
      <w:r w:rsidRPr="004D4BAA">
        <w:t>Energy balance estimates of ECS and TCR use these equations:</w:t>
      </w:r>
      <w:r>
        <w:t xml:space="preserve"> ECS = Fco2 </w:t>
      </w:r>
      <w:r>
        <w:rPr>
          <w:rFonts w:ascii="Calibri" w:hAnsi="Calibri" w:cs="Calibri"/>
        </w:rPr>
        <w:t>·</w:t>
      </w:r>
      <w:r>
        <w:t xml:space="preserve"> ΔT</w:t>
      </w:r>
      <w:proofErr w:type="gramStart"/>
      <w:r>
        <w:t>/(</w:t>
      </w:r>
      <w:proofErr w:type="gramEnd"/>
      <w:r>
        <w:t xml:space="preserve">ΔF – ΔN) and TCR = Fco2 </w:t>
      </w:r>
      <w:r>
        <w:rPr>
          <w:rFonts w:ascii="Calibri" w:hAnsi="Calibri" w:cs="Calibri"/>
        </w:rPr>
        <w:t>·</w:t>
      </w:r>
      <w:r>
        <w:t xml:space="preserve"> </w:t>
      </w:r>
      <w:r w:rsidRPr="002016EE">
        <w:t>ΔT/ΔF</w:t>
      </w:r>
      <w:r>
        <w:t>, where Fco2 is the forcing from a doubling of CO2, ΔT is the change i</w:t>
      </w:r>
      <w:r w:rsidR="006A5982">
        <w:t>n</w:t>
      </w:r>
      <w:r>
        <w:t xml:space="preserve"> surface temperatures between the base and final periods, ΔF is the change in forcing and ΔN is the top-of-atmosphere radiative imbalance, which is equal to the heat uptake by the climate system.</w:t>
      </w:r>
    </w:p>
  </w:footnote>
  <w:footnote w:id="5">
    <w:p w:rsidR="00FA6A54" w:rsidRDefault="00FA6A54">
      <w:pPr>
        <w:pStyle w:val="FootnoteText"/>
      </w:pPr>
      <w:r>
        <w:rPr>
          <w:rStyle w:val="FootnoteReference"/>
        </w:rPr>
        <w:footnoteRef/>
      </w:r>
      <w:r>
        <w:t xml:space="preserve"> Perhaps the authors intentionally chose not to include natural climate change and UHIE correction</w:t>
      </w:r>
      <w:r w:rsidR="00AA2D4D">
        <w:t>s</w:t>
      </w:r>
      <w:r>
        <w:t xml:space="preserve"> so as to match the IPCC methodology.</w:t>
      </w:r>
    </w:p>
  </w:footnote>
  <w:footnote w:id="6">
    <w:p w:rsidR="00AE2880" w:rsidRDefault="00AE2880">
      <w:pPr>
        <w:pStyle w:val="FootnoteText"/>
      </w:pPr>
      <w:r>
        <w:rPr>
          <w:rStyle w:val="FootnoteReference"/>
        </w:rPr>
        <w:footnoteRef/>
      </w:r>
      <w:r>
        <w:t xml:space="preserve"> G. </w:t>
      </w:r>
      <w:proofErr w:type="spellStart"/>
      <w:r w:rsidRPr="00581FB2">
        <w:t>Gebbie</w:t>
      </w:r>
      <w:proofErr w:type="spellEnd"/>
      <w:r w:rsidRPr="00581FB2">
        <w:t xml:space="preserve"> and </w:t>
      </w:r>
      <w:r>
        <w:t xml:space="preserve">P. </w:t>
      </w:r>
      <w:proofErr w:type="spellStart"/>
      <w:r w:rsidRPr="00581FB2">
        <w:t>Huybers</w:t>
      </w:r>
      <w:proofErr w:type="spellEnd"/>
      <w:r>
        <w:t>, 2019, “</w:t>
      </w:r>
      <w:r w:rsidRPr="00440D5E">
        <w:t>The Little Ice Age and 20th-century deep Pacific cooling</w:t>
      </w:r>
      <w:r>
        <w:t xml:space="preserve">”, </w:t>
      </w:r>
      <w:r w:rsidRPr="00884A61">
        <w:rPr>
          <w:i/>
        </w:rPr>
        <w:t>Science</w:t>
      </w:r>
      <w:r>
        <w:t xml:space="preserve">, </w:t>
      </w:r>
      <w:r w:rsidRPr="00E27268">
        <w:t>Vol. 363, Issue 6422</w:t>
      </w:r>
      <w:r>
        <w:t xml:space="preserve">. </w:t>
      </w:r>
      <w:hyperlink r:id="rId3" w:history="1">
        <w:r w:rsidRPr="004D2CDD">
          <w:rPr>
            <w:rStyle w:val="Hyperlink"/>
          </w:rPr>
          <w:t>https://science.sciencemag.org/content/363/6422/70</w:t>
        </w:r>
      </w:hyperlink>
    </w:p>
  </w:footnote>
  <w:footnote w:id="7">
    <w:p w:rsidR="00AE2880" w:rsidRDefault="00AE2880">
      <w:pPr>
        <w:pStyle w:val="FootnoteText"/>
      </w:pPr>
      <w:r>
        <w:rPr>
          <w:rStyle w:val="FootnoteReference"/>
        </w:rPr>
        <w:footnoteRef/>
      </w:r>
      <w:r>
        <w:t xml:space="preserve"> Nicolas </w:t>
      </w:r>
      <w:proofErr w:type="spellStart"/>
      <w:r>
        <w:t>Scafetta</w:t>
      </w:r>
      <w:proofErr w:type="spellEnd"/>
      <w:r>
        <w:t xml:space="preserve"> et al, 2019, “</w:t>
      </w:r>
      <w:r w:rsidRPr="00884A61">
        <w:t>Modeling Quiet Solar Luminosity Variability from TSI Satellite Measurements and Proxy Models during 1980–2018</w:t>
      </w:r>
      <w:r>
        <w:t>”,</w:t>
      </w:r>
      <w:r w:rsidRPr="00884A61">
        <w:t xml:space="preserve"> </w:t>
      </w:r>
      <w:r w:rsidRPr="00884A61">
        <w:rPr>
          <w:i/>
        </w:rPr>
        <w:t>Remote Sensing</w:t>
      </w:r>
      <w:r w:rsidRPr="00BC1352">
        <w:t xml:space="preserve">, Vol. 11, Issue 21. </w:t>
      </w:r>
      <w:hyperlink r:id="rId4" w:history="1">
        <w:r w:rsidRPr="00BC1352">
          <w:rPr>
            <w:rStyle w:val="Hyperlink"/>
          </w:rPr>
          <w:t>https://www.mdpi.com/2072-4292/11/21/2569/htm</w:t>
        </w:r>
      </w:hyperlink>
      <w:r>
        <w:t xml:space="preserve">  A summary of the paper is at </w:t>
      </w:r>
      <w:hyperlink r:id="rId5" w:history="1">
        <w:r w:rsidRPr="00027867">
          <w:rPr>
            <w:rStyle w:val="Hyperlink"/>
          </w:rPr>
          <w:t>https://friendsofscience.org/index.php?id=2517</w:t>
        </w:r>
      </w:hyperlink>
    </w:p>
  </w:footnote>
  <w:footnote w:id="8">
    <w:p w:rsidR="00AE2880" w:rsidRDefault="00AE2880">
      <w:pPr>
        <w:pStyle w:val="FootnoteText"/>
      </w:pPr>
      <w:r>
        <w:rPr>
          <w:rStyle w:val="FootnoteReference"/>
        </w:rPr>
        <w:footnoteRef/>
      </w:r>
      <w:r>
        <w:t xml:space="preserve"> </w:t>
      </w:r>
      <w:r w:rsidRPr="00966E53">
        <w:t>https://spot.colorado.edu/~koppg/TSI/</w:t>
      </w:r>
    </w:p>
  </w:footnote>
  <w:footnote w:id="9">
    <w:p w:rsidR="00AE2880" w:rsidRDefault="00AE2880">
      <w:pPr>
        <w:pStyle w:val="FootnoteText"/>
      </w:pPr>
      <w:r>
        <w:rPr>
          <w:rStyle w:val="FootnoteReference"/>
        </w:rPr>
        <w:footnoteRef/>
      </w:r>
      <w:r>
        <w:t xml:space="preserve"> </w:t>
      </w:r>
      <w:r w:rsidRPr="00966E53">
        <w:t xml:space="preserve">Nicolas </w:t>
      </w:r>
      <w:proofErr w:type="spellStart"/>
      <w:r w:rsidRPr="00966E53">
        <w:t>Scafetta</w:t>
      </w:r>
      <w:proofErr w:type="spellEnd"/>
      <w:r w:rsidRPr="00966E53">
        <w:t xml:space="preserve"> et al, 2019</w:t>
      </w:r>
      <w:r>
        <w:t>, figure 13. See footnote 5.</w:t>
      </w:r>
    </w:p>
  </w:footnote>
  <w:footnote w:id="10">
    <w:p w:rsidR="00AE2880" w:rsidRDefault="00AE2880">
      <w:pPr>
        <w:pStyle w:val="FootnoteText"/>
      </w:pPr>
      <w:r>
        <w:rPr>
          <w:rStyle w:val="FootnoteReference"/>
        </w:rPr>
        <w:footnoteRef/>
      </w:r>
      <w:r>
        <w:t xml:space="preserve"> </w:t>
      </w:r>
      <w:r w:rsidRPr="00D57257">
        <w:t xml:space="preserve">Henrik </w:t>
      </w:r>
      <w:proofErr w:type="spellStart"/>
      <w:r w:rsidRPr="00D57257">
        <w:t>Svensmark</w:t>
      </w:r>
      <w:proofErr w:type="spellEnd"/>
      <w:r>
        <w:t>, 2019, “</w:t>
      </w:r>
      <w:r w:rsidRPr="00D57257">
        <w:t>F</w:t>
      </w:r>
      <w:r>
        <w:t>orce</w:t>
      </w:r>
      <w:r w:rsidRPr="00D57257">
        <w:t xml:space="preserve"> M</w:t>
      </w:r>
      <w:r>
        <w:t xml:space="preserve">ajeure, </w:t>
      </w:r>
      <w:proofErr w:type="gramStart"/>
      <w:r w:rsidRPr="00D57257">
        <w:t>The</w:t>
      </w:r>
      <w:proofErr w:type="gramEnd"/>
      <w:r w:rsidRPr="00D57257">
        <w:t xml:space="preserve"> Sun’s Role in Climate Change</w:t>
      </w:r>
      <w:r>
        <w:t xml:space="preserve">”, </w:t>
      </w:r>
      <w:r w:rsidRPr="00884A61">
        <w:rPr>
          <w:i/>
        </w:rPr>
        <w:t>The Global Warming Policy Foundation</w:t>
      </w:r>
      <w:r>
        <w:t xml:space="preserve">, report 33. </w:t>
      </w:r>
      <w:hyperlink r:id="rId6" w:history="1">
        <w:r w:rsidRPr="00884A61">
          <w:rPr>
            <w:rStyle w:val="Hyperlink"/>
          </w:rPr>
          <w:t>https://www.thegwpf.org/content/uploads/2019/03/SvensmarkSolar2019-1.pdf</w:t>
        </w:r>
      </w:hyperlink>
    </w:p>
  </w:footnote>
  <w:footnote w:id="11">
    <w:p w:rsidR="00AE2880" w:rsidRDefault="00AE2880">
      <w:pPr>
        <w:pStyle w:val="FootnoteText"/>
      </w:pPr>
      <w:r>
        <w:rPr>
          <w:rStyle w:val="FootnoteReference"/>
        </w:rPr>
        <w:footnoteRef/>
      </w:r>
      <w:r>
        <w:t xml:space="preserve"> </w:t>
      </w:r>
      <w:proofErr w:type="spellStart"/>
      <w:proofErr w:type="gramStart"/>
      <w:r w:rsidRPr="00DA2FBF">
        <w:t>N</w:t>
      </w:r>
      <w:r>
        <w:t>ir</w:t>
      </w:r>
      <w:proofErr w:type="spellEnd"/>
      <w:r w:rsidRPr="00DA2FBF">
        <w:t xml:space="preserve"> </w:t>
      </w:r>
      <w:proofErr w:type="spellStart"/>
      <w:r w:rsidRPr="00DA2FBF">
        <w:t>Shaviv</w:t>
      </w:r>
      <w:proofErr w:type="spellEnd"/>
      <w:r w:rsidRPr="00DA2FBF">
        <w:t>,</w:t>
      </w:r>
      <w:r>
        <w:t xml:space="preserve"> 2008,</w:t>
      </w:r>
      <w:r w:rsidRPr="00DA2FBF">
        <w:t xml:space="preserve"> </w:t>
      </w:r>
      <w:r>
        <w:t>“</w:t>
      </w:r>
      <w:r w:rsidRPr="00DA2FBF">
        <w:t>Using the oceans as a calorimeter to quantify the solar radiative forcing</w:t>
      </w:r>
      <w:r>
        <w:t xml:space="preserve">”, </w:t>
      </w:r>
      <w:r w:rsidRPr="00DA2FBF">
        <w:rPr>
          <w:i/>
        </w:rPr>
        <w:t>Journal of Geophysical Research</w:t>
      </w:r>
      <w:r w:rsidRPr="00DA2FBF">
        <w:t>, vol. 113</w:t>
      </w:r>
      <w:r>
        <w:t>.</w:t>
      </w:r>
      <w:proofErr w:type="gramEnd"/>
    </w:p>
  </w:footnote>
  <w:footnote w:id="12">
    <w:p w:rsidR="00AE2880" w:rsidRDefault="00AE2880" w:rsidP="00DD69CD">
      <w:pPr>
        <w:pStyle w:val="FootnoteText"/>
      </w:pPr>
      <w:r>
        <w:rPr>
          <w:rStyle w:val="FootnoteReference"/>
        </w:rPr>
        <w:footnoteRef/>
      </w:r>
      <w:r>
        <w:t xml:space="preserve"> </w:t>
      </w:r>
      <w:proofErr w:type="gramStart"/>
      <w:r>
        <w:t>Cumulative CO2 emission to 1900 = 45 GtCO2.</w:t>
      </w:r>
      <w:proofErr w:type="gramEnd"/>
      <w:r>
        <w:t xml:space="preserve"> </w:t>
      </w:r>
      <w:proofErr w:type="gramStart"/>
      <w:r>
        <w:t>Cumulative CO2 emissions to end 2018 = 1611 GtCO2.</w:t>
      </w:r>
      <w:proofErr w:type="gramEnd"/>
    </w:p>
  </w:footnote>
  <w:footnote w:id="13">
    <w:p w:rsidR="00052385" w:rsidRDefault="00052385">
      <w:pPr>
        <w:pStyle w:val="FootnoteText"/>
      </w:pPr>
      <w:r>
        <w:rPr>
          <w:rStyle w:val="FootnoteReference"/>
        </w:rPr>
        <w:footnoteRef/>
      </w:r>
      <w:r>
        <w:t xml:space="preserve"> </w:t>
      </w:r>
      <w:r w:rsidRPr="00A8462A">
        <w:t>Global Historical Climate Network</w:t>
      </w:r>
      <w:r>
        <w:t xml:space="preserve"> CAMS 2m temperatures were obtained from KNMI Climate Explorer. </w:t>
      </w:r>
      <w:hyperlink r:id="rId7" w:history="1">
        <w:r w:rsidRPr="00A370F9">
          <w:rPr>
            <w:rStyle w:val="Hyperlink"/>
          </w:rPr>
          <w:t>https://climexp.knmi.nl/select.cgi?id=someone@somewhere&amp;field=ghcn_cams_25</w:t>
        </w:r>
      </w:hyperlink>
    </w:p>
  </w:footnote>
  <w:footnote w:id="14">
    <w:p w:rsidR="004A6E50" w:rsidRDefault="004A6E50" w:rsidP="004A6E50">
      <w:pPr>
        <w:pStyle w:val="FootnoteText"/>
      </w:pPr>
      <w:r>
        <w:rPr>
          <w:rStyle w:val="FootnoteReference"/>
        </w:rPr>
        <w:footnoteRef/>
      </w:r>
      <w:r>
        <w:t xml:space="preserve"> </w:t>
      </w:r>
      <w:r w:rsidRPr="00576374">
        <w:t>The weighting factors were taken from an analysis of tree growth in Oregon, USA</w:t>
      </w:r>
      <w:r>
        <w:t>. The factors relative to June for May to September are 0.75, 1.0, 0.7</w:t>
      </w:r>
      <w:proofErr w:type="gramStart"/>
      <w:r>
        <w:t>,0.35</w:t>
      </w:r>
      <w:proofErr w:type="gramEnd"/>
      <w:r>
        <w:t xml:space="preserve"> and 0.17.  </w:t>
      </w:r>
      <w:hyperlink r:id="rId8" w:history="1">
        <w:r w:rsidRPr="005B08A2">
          <w:rPr>
            <w:rStyle w:val="Hyperlink"/>
          </w:rPr>
          <w:t>http://www.sciencedirect.com/science/article/pii/S0168192312003024</w:t>
        </w:r>
      </w:hyperlink>
    </w:p>
  </w:footnote>
  <w:footnote w:id="15">
    <w:p w:rsidR="00AE2880" w:rsidRDefault="00AE2880">
      <w:pPr>
        <w:pStyle w:val="FootnoteText"/>
      </w:pPr>
      <w:r>
        <w:rPr>
          <w:rStyle w:val="FootnoteReference"/>
        </w:rPr>
        <w:footnoteRef/>
      </w:r>
      <w:r>
        <w:t xml:space="preserve"> Detailed information about the proxy bias adjustments is available at </w:t>
      </w:r>
      <w:hyperlink r:id="rId9" w:history="1">
        <w:r w:rsidRPr="00EC70EF">
          <w:rPr>
            <w:rStyle w:val="Hyperlink"/>
          </w:rPr>
          <w:t>http://www.friendsofscience.org/index.php?id=2205</w:t>
        </w:r>
      </w:hyperlink>
    </w:p>
  </w:footnote>
  <w:footnote w:id="16">
    <w:p w:rsidR="00AE2880" w:rsidRDefault="00AE2880">
      <w:pPr>
        <w:pStyle w:val="FootnoteText"/>
      </w:pPr>
      <w:r>
        <w:rPr>
          <w:rStyle w:val="FootnoteReference"/>
        </w:rPr>
        <w:footnoteRef/>
      </w:r>
      <w:r>
        <w:t xml:space="preserve"> See K. Gregory, “</w:t>
      </w:r>
      <w:r w:rsidRPr="00596725">
        <w:t>Correct the Corrections: The GISS Urban Adjustment</w:t>
      </w:r>
      <w:r>
        <w:t xml:space="preserve">” 2008, a summary of the audit by Steve McIntyre with a link to the original study at </w:t>
      </w:r>
      <w:hyperlink r:id="rId10" w:history="1">
        <w:r w:rsidRPr="000841AA">
          <w:rPr>
            <w:rStyle w:val="Hyperlink"/>
          </w:rPr>
          <w:t>https://friendsofscience.org/index.php?id=396</w:t>
        </w:r>
      </w:hyperlink>
    </w:p>
  </w:footnote>
  <w:footnote w:id="17">
    <w:p w:rsidR="00AE2880" w:rsidRDefault="00AE2880" w:rsidP="00211397">
      <w:pPr>
        <w:pStyle w:val="FootnoteText"/>
      </w:pPr>
      <w:r>
        <w:rPr>
          <w:rStyle w:val="FootnoteReference"/>
        </w:rPr>
        <w:footnoteRef/>
      </w:r>
      <w:r>
        <w:t xml:space="preserve"> Ross </w:t>
      </w:r>
      <w:proofErr w:type="spellStart"/>
      <w:r w:rsidRPr="005305E7">
        <w:t>McKitrick</w:t>
      </w:r>
      <w:proofErr w:type="spellEnd"/>
      <w:r w:rsidRPr="005305E7">
        <w:t>, and Patrick Michaels</w:t>
      </w:r>
      <w:r>
        <w:t>,</w:t>
      </w:r>
      <w:r w:rsidRPr="005305E7">
        <w:t xml:space="preserve"> 2007</w:t>
      </w:r>
      <w:r>
        <w:t>,</w:t>
      </w:r>
      <w:r w:rsidRPr="005305E7">
        <w:t xml:space="preserve"> </w:t>
      </w:r>
      <w:r>
        <w:t>“</w:t>
      </w:r>
      <w:r w:rsidRPr="005305E7">
        <w:t xml:space="preserve">Quantifying the influence of anthropogenic surface processes and </w:t>
      </w:r>
      <w:proofErr w:type="spellStart"/>
      <w:r w:rsidRPr="005305E7">
        <w:t>inhomogeneities</w:t>
      </w:r>
      <w:proofErr w:type="spellEnd"/>
      <w:r w:rsidRPr="005305E7">
        <w:t xml:space="preserve"> on gridded global climate data</w:t>
      </w:r>
      <w:r>
        <w:t>”,</w:t>
      </w:r>
      <w:r w:rsidRPr="005305E7">
        <w:t xml:space="preserve"> </w:t>
      </w:r>
      <w:r w:rsidRPr="004D2CDD">
        <w:rPr>
          <w:i/>
        </w:rPr>
        <w:t>Journal of Geophysical Research-Atmospheres</w:t>
      </w:r>
      <w:r w:rsidRPr="005305E7">
        <w:t>, 112, D24S09, doi</w:t>
      </w:r>
      <w:proofErr w:type="gramStart"/>
      <w:r w:rsidRPr="005305E7">
        <w:t>:10.1029</w:t>
      </w:r>
      <w:proofErr w:type="gramEnd"/>
      <w:r w:rsidRPr="005305E7">
        <w:t>/2007JD008465.</w:t>
      </w:r>
      <w:r>
        <w:t xml:space="preserve"> </w:t>
      </w:r>
      <w:hyperlink r:id="rId11" w:history="1">
        <w:r w:rsidRPr="005305E7">
          <w:rPr>
            <w:rStyle w:val="Hyperlink"/>
          </w:rPr>
          <w:t>https://www.rossmckitrick.com/uploads/4/8/0/8/4808045/m_m.jgrdec07.pdf</w:t>
        </w:r>
      </w:hyperlink>
    </w:p>
  </w:footnote>
  <w:footnote w:id="18">
    <w:p w:rsidR="00AE2880" w:rsidRDefault="00AE2880">
      <w:pPr>
        <w:pStyle w:val="FootnoteText"/>
      </w:pPr>
      <w:r>
        <w:rPr>
          <w:rStyle w:val="FootnoteReference"/>
        </w:rPr>
        <w:footnoteRef/>
      </w:r>
      <w:r>
        <w:t xml:space="preserve"> </w:t>
      </w:r>
      <w:proofErr w:type="gramStart"/>
      <w:r>
        <w:t xml:space="preserve">A. De </w:t>
      </w:r>
      <w:proofErr w:type="spellStart"/>
      <w:r>
        <w:t>Laat</w:t>
      </w:r>
      <w:proofErr w:type="spellEnd"/>
      <w:r>
        <w:t xml:space="preserve"> and A </w:t>
      </w:r>
      <w:proofErr w:type="spellStart"/>
      <w:r>
        <w:t>Maurellis</w:t>
      </w:r>
      <w:proofErr w:type="spellEnd"/>
      <w:r>
        <w:t xml:space="preserve">, 2006, “Evidence of Influence of Anthropogenic surface processes on lower tropospheric and surface temperature trends”, </w:t>
      </w:r>
      <w:r w:rsidRPr="004D2CDD">
        <w:rPr>
          <w:i/>
        </w:rPr>
        <w:t>International Journal of Climatology</w:t>
      </w:r>
      <w:r>
        <w:t>, 26.</w:t>
      </w:r>
      <w:proofErr w:type="gramEnd"/>
      <w:r>
        <w:t xml:space="preserve"> </w:t>
      </w:r>
      <w:hyperlink r:id="rId12" w:history="1">
        <w:r w:rsidRPr="00452183">
          <w:rPr>
            <w:rStyle w:val="Hyperlink"/>
          </w:rPr>
          <w:t>https://rmets.onlinelibrary.wiley.com/doi/epdf/10.1002/joc.1292</w:t>
        </w:r>
      </w:hyperlink>
    </w:p>
  </w:footnote>
  <w:footnote w:id="19">
    <w:p w:rsidR="00832663" w:rsidRDefault="00832663" w:rsidP="00832663">
      <w:pPr>
        <w:pStyle w:val="FootnoteText"/>
      </w:pPr>
      <w:r>
        <w:rPr>
          <w:rStyle w:val="FootnoteReference"/>
        </w:rPr>
        <w:footnoteRef/>
      </w:r>
      <w:r>
        <w:t xml:space="preserve"> </w:t>
      </w:r>
      <w:r w:rsidRPr="004D2CDD">
        <w:t>N</w:t>
      </w:r>
      <w:r>
        <w:t>.</w:t>
      </w:r>
      <w:r w:rsidRPr="004D2CDD">
        <w:t xml:space="preserve"> </w:t>
      </w:r>
      <w:proofErr w:type="spellStart"/>
      <w:r w:rsidRPr="004D2CDD">
        <w:t>Scafetta</w:t>
      </w:r>
      <w:proofErr w:type="spellEnd"/>
      <w:r>
        <w:t xml:space="preserve"> and</w:t>
      </w:r>
      <w:r w:rsidRPr="004D2CDD">
        <w:t xml:space="preserve"> S</w:t>
      </w:r>
      <w:r>
        <w:t>.</w:t>
      </w:r>
      <w:r w:rsidRPr="004D2CDD">
        <w:t xml:space="preserve"> Ouyang</w:t>
      </w:r>
      <w:proofErr w:type="gramStart"/>
      <w:r>
        <w:t>,2019</w:t>
      </w:r>
      <w:proofErr w:type="gramEnd"/>
      <w:r>
        <w:t>,</w:t>
      </w:r>
      <w:r w:rsidRPr="004D2CDD">
        <w:t xml:space="preserve"> </w:t>
      </w:r>
      <w:r>
        <w:t>“</w:t>
      </w:r>
      <w:r w:rsidRPr="004D2CDD">
        <w:t xml:space="preserve">Detection of UHI bias in China climate network using </w:t>
      </w:r>
      <w:proofErr w:type="spellStart"/>
      <w:r w:rsidRPr="004D2CDD">
        <w:t>Tmin</w:t>
      </w:r>
      <w:proofErr w:type="spellEnd"/>
      <w:r w:rsidRPr="004D2CDD">
        <w:t xml:space="preserve"> and </w:t>
      </w:r>
      <w:proofErr w:type="spellStart"/>
      <w:r w:rsidRPr="004D2CDD">
        <w:t>Tmax</w:t>
      </w:r>
      <w:proofErr w:type="spellEnd"/>
      <w:r w:rsidRPr="004D2CDD">
        <w:t xml:space="preserve"> surface temperature divergence</w:t>
      </w:r>
      <w:r>
        <w:t>”,</w:t>
      </w:r>
      <w:r w:rsidRPr="004D2CDD">
        <w:t xml:space="preserve"> </w:t>
      </w:r>
      <w:r w:rsidRPr="004D2CDD">
        <w:rPr>
          <w:i/>
        </w:rPr>
        <w:t>Global and Planetary Change</w:t>
      </w:r>
      <w:r w:rsidRPr="004D2CDD">
        <w:t xml:space="preserve">, Volume 181, 102989. </w:t>
      </w:r>
      <w:hyperlink r:id="rId13" w:history="1">
        <w:r w:rsidRPr="004D2CDD">
          <w:rPr>
            <w:rStyle w:val="Hyperlink"/>
          </w:rPr>
          <w:t>https://www.sciencedirect.com/science/article/pii/S092181811930102X</w:t>
        </w:r>
      </w:hyperlink>
    </w:p>
  </w:footnote>
  <w:footnote w:id="20">
    <w:p w:rsidR="00AE2880" w:rsidRDefault="00AE2880">
      <w:pPr>
        <w:pStyle w:val="FootnoteText"/>
      </w:pPr>
      <w:r>
        <w:rPr>
          <w:rStyle w:val="FootnoteReference"/>
        </w:rPr>
        <w:footnoteRef/>
      </w:r>
      <w:r>
        <w:t xml:space="preserve"> J. </w:t>
      </w:r>
      <w:proofErr w:type="spellStart"/>
      <w:r>
        <w:t>Quereda</w:t>
      </w:r>
      <w:proofErr w:type="spellEnd"/>
      <w:r>
        <w:t xml:space="preserve"> et al, 2016, “</w:t>
      </w:r>
      <w:r w:rsidRPr="003E7587">
        <w:t>Significant Climate Warming (1950–2013) in the Spanish</w:t>
      </w:r>
      <w:r>
        <w:t xml:space="preserve"> </w:t>
      </w:r>
      <w:r w:rsidRPr="003E7587">
        <w:t>Mediterranean: Natural Trend or Urban Heat Island</w:t>
      </w:r>
      <w:r>
        <w:t xml:space="preserve">”, </w:t>
      </w:r>
      <w:r w:rsidRPr="003E7587">
        <w:rPr>
          <w:i/>
        </w:rPr>
        <w:t>Journal of Mediterranean Meteorology &amp; Climatology</w:t>
      </w:r>
      <w:r>
        <w:t xml:space="preserve">, </w:t>
      </w:r>
      <w:r w:rsidRPr="003E7587">
        <w:t>Tethys</w:t>
      </w:r>
      <w:r>
        <w:t>, 13.</w:t>
      </w:r>
    </w:p>
  </w:footnote>
  <w:footnote w:id="21">
    <w:p w:rsidR="00AE2880" w:rsidRDefault="00AE2880">
      <w:pPr>
        <w:pStyle w:val="FootnoteText"/>
      </w:pPr>
      <w:r>
        <w:rPr>
          <w:rStyle w:val="FootnoteReference"/>
        </w:rPr>
        <w:footnoteRef/>
      </w:r>
      <w:r>
        <w:t xml:space="preserve"> Uncertainty estimates 5-95% </w:t>
      </w:r>
      <w:proofErr w:type="gramStart"/>
      <w:r>
        <w:t xml:space="preserve">of  </w:t>
      </w:r>
      <w:r w:rsidRPr="002016EE">
        <w:t>Δ</w:t>
      </w:r>
      <w:r>
        <w:t>T</w:t>
      </w:r>
      <w:proofErr w:type="gramEnd"/>
      <w:r>
        <w:t xml:space="preserve">, </w:t>
      </w:r>
      <w:r w:rsidRPr="002016EE">
        <w:t>Δ</w:t>
      </w:r>
      <w:r>
        <w:t xml:space="preserve">F and </w:t>
      </w:r>
      <w:r w:rsidRPr="002016EE">
        <w:t>Δ</w:t>
      </w:r>
      <w:r>
        <w:t xml:space="preserve">N used to determine ECS as per footnote 3 are given in LC2018 table 2. The estimate of well mixed greenhouse gas (WMGHG) forcing is in LC2018 table 1. The Fco2 forcing uncertainty is taken as proportional to WMGHG, so Fco2 = 3.80 (3.03-4.57). The Fco2 and </w:t>
      </w:r>
      <w:r w:rsidRPr="002016EE">
        <w:t>Δ</w:t>
      </w:r>
      <w:r>
        <w:t xml:space="preserve">F uncertainties were reduced by </w:t>
      </w:r>
      <w:r w:rsidR="00816D24">
        <w:t xml:space="preserve">a </w:t>
      </w:r>
      <w:r>
        <w:t>factor 0.69 to account for the strong correlation between them.</w:t>
      </w:r>
    </w:p>
  </w:footnote>
  <w:footnote w:id="22">
    <w:p w:rsidR="00515E50" w:rsidRDefault="00515E50">
      <w:pPr>
        <w:pStyle w:val="FootnoteText"/>
      </w:pPr>
      <w:r>
        <w:rPr>
          <w:rStyle w:val="FootnoteReference"/>
        </w:rPr>
        <w:footnoteRef/>
      </w:r>
      <w:r>
        <w:t xml:space="preserve"> GHG forcings are from the </w:t>
      </w:r>
      <w:r w:rsidRPr="00515E50">
        <w:t>Annual Greenhouse Gas Index</w:t>
      </w:r>
      <w:r>
        <w:t xml:space="preserve">, NOAA’s Global monitoring Laboratory, </w:t>
      </w:r>
      <w:hyperlink r:id="rId14" w:history="1">
        <w:r w:rsidRPr="00515E50">
          <w:rPr>
            <w:rStyle w:val="Hyperlink"/>
          </w:rPr>
          <w:t>here</w:t>
        </w:r>
      </w:hyperlink>
      <w:r>
        <w:t>.</w:t>
      </w:r>
      <w:r w:rsidR="00C43745">
        <w:t xml:space="preserve"> The non-CO2 contribution fraction (18%) is the average 2009-2019.</w:t>
      </w:r>
    </w:p>
  </w:footnote>
  <w:footnote w:id="23">
    <w:p w:rsidR="00AE2880" w:rsidRDefault="00AE2880">
      <w:pPr>
        <w:pStyle w:val="FootnoteText"/>
      </w:pPr>
      <w:r>
        <w:rPr>
          <w:rStyle w:val="FootnoteReference"/>
        </w:rPr>
        <w:footnoteRef/>
      </w:r>
      <w:r>
        <w:t xml:space="preserve"> The </w:t>
      </w:r>
      <w:r w:rsidRPr="00075297">
        <w:t xml:space="preserve">response function [1 - </w:t>
      </w:r>
      <w:proofErr w:type="spellStart"/>
      <w:proofErr w:type="gramStart"/>
      <w:r w:rsidRPr="00075297">
        <w:t>exp</w:t>
      </w:r>
      <w:proofErr w:type="spellEnd"/>
      <w:r w:rsidRPr="00075297">
        <w:t>(</w:t>
      </w:r>
      <w:proofErr w:type="gramEnd"/>
      <w:r w:rsidRPr="00075297">
        <w:t xml:space="preserve">-t/tau)] where </w:t>
      </w:r>
      <w:proofErr w:type="spellStart"/>
      <w:r w:rsidRPr="00075297">
        <w:t>t</w:t>
      </w:r>
      <w:proofErr w:type="spellEnd"/>
      <w:r w:rsidRPr="00075297">
        <w:t xml:space="preserve"> is elapsed time</w:t>
      </w:r>
      <w:r>
        <w:t xml:space="preserve"> from the cente</w:t>
      </w:r>
      <w:r w:rsidR="002A60F1">
        <w:t>r</w:t>
      </w:r>
      <w:r>
        <w:t xml:space="preserve"> of the final period of LC2018</w:t>
      </w:r>
      <w:r w:rsidRPr="00075297">
        <w:t xml:space="preserve"> and tau </w:t>
      </w:r>
      <w:r>
        <w:t>is a</w:t>
      </w:r>
      <w:r w:rsidRPr="00075297">
        <w:t xml:space="preserve"> time constant. The scaling factor is </w:t>
      </w:r>
      <w:r>
        <w:t xml:space="preserve">GHG </w:t>
      </w:r>
      <w:r w:rsidRPr="00075297">
        <w:t>forced warming to date (</w:t>
      </w:r>
      <w:r>
        <w:t>0</w:t>
      </w:r>
      <w:r w:rsidRPr="00075297">
        <w:t>.</w:t>
      </w:r>
      <w:r w:rsidR="0046505A">
        <w:t>61</w:t>
      </w:r>
      <w:r w:rsidRPr="00075297">
        <w:t xml:space="preserve"> </w:t>
      </w:r>
      <w:r>
        <w:rPr>
          <w:rFonts w:ascii="Calibri" w:hAnsi="Calibri" w:cs="Calibri"/>
        </w:rPr>
        <w:t>°</w:t>
      </w:r>
      <w:r>
        <w:t>C</w:t>
      </w:r>
      <w:r w:rsidRPr="00075297">
        <w:t>)/ TCR.</w:t>
      </w:r>
    </w:p>
  </w:footnote>
  <w:footnote w:id="24">
    <w:p w:rsidR="00F350BF" w:rsidRDefault="00F350BF">
      <w:pPr>
        <w:pStyle w:val="FootnoteText"/>
      </w:pPr>
      <w:r>
        <w:rPr>
          <w:rStyle w:val="FootnoteReference"/>
        </w:rPr>
        <w:footnoteRef/>
      </w:r>
      <w:r>
        <w:t xml:space="preserve"> </w:t>
      </w:r>
      <w:proofErr w:type="gramStart"/>
      <w:r>
        <w:t>Peter Lang &amp; Ken Gregory, 2019, “</w:t>
      </w:r>
      <w:r w:rsidRPr="00F350BF">
        <w:t>Economic Impact of Energy Consumption Change Caused by Global Warming</w:t>
      </w:r>
      <w:r>
        <w:t xml:space="preserve">”, Energies, </w:t>
      </w:r>
      <w:r w:rsidRPr="00F350BF">
        <w:t>12(18), 3575</w:t>
      </w:r>
      <w:r>
        <w:t>.</w:t>
      </w:r>
      <w:proofErr w:type="gramEnd"/>
      <w:r>
        <w:t xml:space="preserve"> </w:t>
      </w:r>
      <w:hyperlink r:id="rId15" w:history="1">
        <w:r w:rsidRPr="00F350BF">
          <w:rPr>
            <w:rStyle w:val="Hyperlink"/>
          </w:rPr>
          <w:t>https://www.mdpi.com/1996-1073/12/18/3575</w:t>
        </w:r>
      </w:hyperlink>
    </w:p>
  </w:footnote>
  <w:footnote w:id="25">
    <w:p w:rsidR="00961E00" w:rsidRDefault="00961E00">
      <w:pPr>
        <w:pStyle w:val="FootnoteText"/>
      </w:pPr>
      <w:r>
        <w:rPr>
          <w:rStyle w:val="FootnoteReference"/>
        </w:rPr>
        <w:footnoteRef/>
      </w:r>
      <w:r>
        <w:t xml:space="preserve"> Ken Gregory, 2020, “</w:t>
      </w:r>
      <w:r w:rsidRPr="00961E00">
        <w:t>The Global Economic Impact of Climate Change on Energy Expenditures”</w:t>
      </w:r>
      <w:r w:rsidR="00515E07">
        <w:t xml:space="preserve">, </w:t>
      </w:r>
      <w:hyperlink r:id="rId16" w:history="1">
        <w:r w:rsidR="00515E07" w:rsidRPr="00515E07">
          <w:rPr>
            <w:rStyle w:val="Hyperlink"/>
          </w:rPr>
          <w:t>https://friendsofscience.org/index.php?id=2515</w:t>
        </w:r>
      </w:hyperlink>
    </w:p>
  </w:footnote>
  <w:footnote w:id="26">
    <w:p w:rsidR="00A73D9E" w:rsidRDefault="00A73D9E">
      <w:pPr>
        <w:pStyle w:val="FootnoteText"/>
      </w:pPr>
      <w:r>
        <w:rPr>
          <w:rStyle w:val="FootnoteReference"/>
        </w:rPr>
        <w:footnoteRef/>
      </w:r>
      <w:r>
        <w:t xml:space="preserve"> </w:t>
      </w:r>
      <w:proofErr w:type="gramStart"/>
      <w:r>
        <w:t xml:space="preserve">K </w:t>
      </w:r>
      <w:proofErr w:type="spellStart"/>
      <w:r>
        <w:t>Dayaratna</w:t>
      </w:r>
      <w:proofErr w:type="spellEnd"/>
      <w:r>
        <w:t xml:space="preserve">, R. </w:t>
      </w:r>
      <w:proofErr w:type="spellStart"/>
      <w:r>
        <w:t>McKitrick</w:t>
      </w:r>
      <w:proofErr w:type="spellEnd"/>
      <w:r>
        <w:t xml:space="preserve"> &amp; P. Michaels, 2020, </w:t>
      </w:r>
      <w:r w:rsidRPr="00A73D9E">
        <w:rPr>
          <w:i/>
        </w:rPr>
        <w:t>Environmental Economics and Policy Studies</w:t>
      </w:r>
      <w:r>
        <w:t xml:space="preserve">, Springer, </w:t>
      </w:r>
      <w:r w:rsidRPr="00A73D9E">
        <w:t>22</w:t>
      </w:r>
      <w:r>
        <w:t>.</w:t>
      </w:r>
      <w:proofErr w:type="gramEnd"/>
      <w:r>
        <w:t xml:space="preserve"> </w:t>
      </w:r>
      <w:hyperlink r:id="rId17" w:history="1">
        <w:r w:rsidRPr="00A73D9E">
          <w:rPr>
            <w:rStyle w:val="Hyperlink"/>
          </w:rPr>
          <w:t>https://link.springer.com/article/10.1007/s10018-020-00263-w</w:t>
        </w:r>
      </w:hyperlink>
    </w:p>
  </w:footnote>
  <w:footnote w:id="27">
    <w:p w:rsidR="00196C36" w:rsidRDefault="00196C36">
      <w:pPr>
        <w:pStyle w:val="FootnoteText"/>
      </w:pPr>
      <w:r>
        <w:rPr>
          <w:rStyle w:val="FootnoteReference"/>
        </w:rPr>
        <w:footnoteRef/>
      </w:r>
      <w:r>
        <w:t xml:space="preserve"> The gross world product is estimated in 2019 at US$86.6 trillion, </w:t>
      </w:r>
      <w:hyperlink r:id="rId18" w:history="1">
        <w:r w:rsidRPr="00196C36">
          <w:rPr>
            <w:rStyle w:val="Hyperlink"/>
          </w:rPr>
          <w:t>http://statisticstimes.com/economy/gross-world-product.php</w:t>
        </w:r>
      </w:hyperlink>
    </w:p>
  </w:footnote>
  <w:footnote w:id="28">
    <w:p w:rsidR="003E58EE" w:rsidRDefault="003E58EE">
      <w:pPr>
        <w:pStyle w:val="FootnoteText"/>
      </w:pPr>
      <w:r>
        <w:rPr>
          <w:rStyle w:val="FootnoteReference"/>
        </w:rPr>
        <w:footnoteRef/>
      </w:r>
      <w:r>
        <w:t xml:space="preserve"> The Excel </w:t>
      </w:r>
      <w:r w:rsidR="0073299F">
        <w:t xml:space="preserve">file </w:t>
      </w:r>
      <w:r>
        <w:t xml:space="preserve">is at </w:t>
      </w:r>
      <w:hyperlink r:id="rId19" w:history="1">
        <w:r w:rsidRPr="003E58EE">
          <w:rPr>
            <w:rStyle w:val="Hyperlink"/>
          </w:rPr>
          <w:t>https://friendsofscience.org/assets/files/Lewis_Curry_Gregory_ECS_TCR-cl.xlsx</w:t>
        </w:r>
      </w:hyperlink>
      <w:r>
        <w:t xml:space="preserve"> . The Argo </w:t>
      </w:r>
      <w:proofErr w:type="spellStart"/>
      <w:r>
        <w:t>addin</w:t>
      </w:r>
      <w:proofErr w:type="spellEnd"/>
      <w:r>
        <w:t xml:space="preserve"> for Excel is available at </w:t>
      </w:r>
      <w:hyperlink r:id="rId20" w:history="1">
        <w:r w:rsidRPr="003E58EE">
          <w:rPr>
            <w:rStyle w:val="Hyperlink"/>
          </w:rPr>
          <w:t>https://github.com/boozallen/argo/wiki</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1506807"/>
      <w:dataBinding w:prefixMappings="xmlns:ns0='http://schemas.openxmlformats.org/package/2006/metadata/core-properties' xmlns:ns1='http://purl.org/dc/elements/1.1/'" w:xpath="/ns0:coreProperties[1]/ns1:creator[1]" w:storeItemID="{6C3C8BC8-F283-45AE-878A-BAB7291924A1}"/>
      <w:text/>
    </w:sdtPr>
    <w:sdtEndPr/>
    <w:sdtContent>
      <w:p w:rsidR="00AE2880" w:rsidRDefault="00AE2880">
        <w:pPr>
          <w:pStyle w:val="Header"/>
          <w:pBdr>
            <w:bottom w:val="single" w:sz="4" w:space="0" w:color="auto"/>
          </w:pBdr>
        </w:pPr>
        <w:r>
          <w:t>Ken Gregory,</w:t>
        </w:r>
        <w:r w:rsidR="008E59EA">
          <w:t xml:space="preserve"> P.Eng.</w:t>
        </w:r>
        <w:r>
          <w:t xml:space="preserve"> Friends of Science</w:t>
        </w:r>
      </w:p>
    </w:sdtContent>
  </w:sdt>
  <w:p w:rsidR="00AE2880" w:rsidRDefault="00AE28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5787"/>
      <w:dataBinding w:prefixMappings="xmlns:ns0='http://schemas.openxmlformats.org/package/2006/metadata/core-properties' xmlns:ns1='http://purl.org/dc/elements/1.1/'" w:xpath="/ns0:coreProperties[1]/ns1:creator[1]" w:storeItemID="{6C3C8BC8-F283-45AE-878A-BAB7291924A1}"/>
      <w:text/>
    </w:sdtPr>
    <w:sdtEndPr/>
    <w:sdtContent>
      <w:p w:rsidR="00AE2880" w:rsidRDefault="008E59EA">
        <w:pPr>
          <w:pStyle w:val="Header"/>
          <w:pBdr>
            <w:bottom w:val="single" w:sz="4" w:space="0" w:color="auto"/>
          </w:pBdr>
          <w:jc w:val="right"/>
        </w:pPr>
        <w:r>
          <w:t>Ken Gregory, P.Eng. Friends of Science</w:t>
        </w:r>
      </w:p>
    </w:sdtContent>
  </w:sdt>
  <w:p w:rsidR="00AE2880" w:rsidRDefault="00AE288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2A6D920"/>
    <w:lvl w:ilvl="0">
      <w:start w:val="1"/>
      <w:numFmt w:val="decimal"/>
      <w:lvlText w:val="%1."/>
      <w:lvlJc w:val="left"/>
      <w:pPr>
        <w:tabs>
          <w:tab w:val="num" w:pos="1800"/>
        </w:tabs>
        <w:ind w:left="1800" w:hanging="360"/>
      </w:pPr>
    </w:lvl>
  </w:abstractNum>
  <w:abstractNum w:abstractNumId="1">
    <w:nsid w:val="FFFFFF7D"/>
    <w:multiLevelType w:val="singleLevel"/>
    <w:tmpl w:val="AA46E614"/>
    <w:lvl w:ilvl="0">
      <w:start w:val="1"/>
      <w:numFmt w:val="decimal"/>
      <w:lvlText w:val="%1."/>
      <w:lvlJc w:val="left"/>
      <w:pPr>
        <w:tabs>
          <w:tab w:val="num" w:pos="1440"/>
        </w:tabs>
        <w:ind w:left="1440" w:hanging="360"/>
      </w:pPr>
    </w:lvl>
  </w:abstractNum>
  <w:abstractNum w:abstractNumId="2">
    <w:nsid w:val="FFFFFF7E"/>
    <w:multiLevelType w:val="singleLevel"/>
    <w:tmpl w:val="1B5E526C"/>
    <w:lvl w:ilvl="0">
      <w:start w:val="1"/>
      <w:numFmt w:val="decimal"/>
      <w:lvlText w:val="%1."/>
      <w:lvlJc w:val="left"/>
      <w:pPr>
        <w:tabs>
          <w:tab w:val="num" w:pos="1080"/>
        </w:tabs>
        <w:ind w:left="1080" w:hanging="360"/>
      </w:pPr>
    </w:lvl>
  </w:abstractNum>
  <w:abstractNum w:abstractNumId="3">
    <w:nsid w:val="FFFFFF7F"/>
    <w:multiLevelType w:val="singleLevel"/>
    <w:tmpl w:val="BBA64556"/>
    <w:lvl w:ilvl="0">
      <w:start w:val="1"/>
      <w:numFmt w:val="decimal"/>
      <w:lvlText w:val="%1."/>
      <w:lvlJc w:val="left"/>
      <w:pPr>
        <w:tabs>
          <w:tab w:val="num" w:pos="720"/>
        </w:tabs>
        <w:ind w:left="720" w:hanging="360"/>
      </w:pPr>
    </w:lvl>
  </w:abstractNum>
  <w:abstractNum w:abstractNumId="4">
    <w:nsid w:val="FFFFFF80"/>
    <w:multiLevelType w:val="singleLevel"/>
    <w:tmpl w:val="55EA7C8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7326DB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3A6BF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E0E3EE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EF4EB12"/>
    <w:lvl w:ilvl="0">
      <w:start w:val="1"/>
      <w:numFmt w:val="decimal"/>
      <w:lvlText w:val="%1."/>
      <w:lvlJc w:val="left"/>
      <w:pPr>
        <w:tabs>
          <w:tab w:val="num" w:pos="360"/>
        </w:tabs>
        <w:ind w:left="360" w:hanging="360"/>
      </w:pPr>
    </w:lvl>
  </w:abstractNum>
  <w:abstractNum w:abstractNumId="9">
    <w:nsid w:val="FFFFFF89"/>
    <w:multiLevelType w:val="singleLevel"/>
    <w:tmpl w:val="F68872E2"/>
    <w:lvl w:ilvl="0">
      <w:start w:val="1"/>
      <w:numFmt w:val="bullet"/>
      <w:lvlText w:val=""/>
      <w:lvlJc w:val="left"/>
      <w:pPr>
        <w:tabs>
          <w:tab w:val="num" w:pos="360"/>
        </w:tabs>
        <w:ind w:left="360" w:hanging="360"/>
      </w:pPr>
      <w:rPr>
        <w:rFonts w:ascii="Symbol" w:hAnsi="Symbol" w:hint="default"/>
      </w:rPr>
    </w:lvl>
  </w:abstractNum>
  <w:abstractNum w:abstractNumId="10">
    <w:nsid w:val="005D11A9"/>
    <w:multiLevelType w:val="multilevel"/>
    <w:tmpl w:val="33B056D0"/>
    <w:numStyleLink w:val="UrbanBulletedList"/>
  </w:abstractNum>
  <w:abstractNum w:abstractNumId="11">
    <w:nsid w:val="0EDC38E4"/>
    <w:multiLevelType w:val="multilevel"/>
    <w:tmpl w:val="33B056D0"/>
    <w:numStyleLink w:val="UrbanBulletedList"/>
  </w:abstractNum>
  <w:abstractNum w:abstractNumId="12">
    <w:nsid w:val="124B7CF1"/>
    <w:multiLevelType w:val="multilevel"/>
    <w:tmpl w:val="7AC6A14E"/>
    <w:styleLink w:val="UrbanNumberedList"/>
    <w:lvl w:ilvl="0">
      <w:start w:val="1"/>
      <w:numFmt w:val="decimal"/>
      <w:lvlText w:val="%1."/>
      <w:lvlJc w:val="left"/>
      <w:pPr>
        <w:ind w:left="288" w:hanging="288"/>
      </w:pPr>
      <w:rPr>
        <w:rFonts w:asciiTheme="minorHAnsi" w:hAnsiTheme="minorHAnsi" w:hint="default"/>
        <w:i w:val="0"/>
        <w:color w:val="A04DA3" w:themeColor="accent3"/>
        <w:sz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3">
    <w:nsid w:val="19BE3A5C"/>
    <w:multiLevelType w:val="multilevel"/>
    <w:tmpl w:val="33B056D0"/>
    <w:lvl w:ilvl="0">
      <w:start w:val="1"/>
      <w:numFmt w:val="bullet"/>
      <w:lvlText w:val=""/>
      <w:lvlJc w:val="left"/>
      <w:pPr>
        <w:ind w:left="216" w:hanging="216"/>
      </w:pPr>
      <w:rPr>
        <w:rFonts w:ascii="Symbol" w:hAnsi="Symbol" w:hint="default"/>
        <w:b w:val="0"/>
        <w:i w:val="0"/>
        <w:color w:val="A04DA3" w:themeColor="accent3"/>
        <w:sz w:val="18"/>
      </w:rPr>
    </w:lvl>
    <w:lvl w:ilvl="1">
      <w:start w:val="1"/>
      <w:numFmt w:val="bullet"/>
      <w:lvlText w:val=""/>
      <w:lvlJc w:val="left"/>
      <w:pPr>
        <w:ind w:left="461" w:hanging="216"/>
      </w:pPr>
      <w:rPr>
        <w:rFonts w:ascii="Wingdings" w:hAnsi="Wingdings" w:hint="default"/>
        <w:b w:val="0"/>
        <w:i w:val="0"/>
        <w:color w:val="438086" w:themeColor="accent2"/>
        <w:sz w:val="12"/>
      </w:rPr>
    </w:lvl>
    <w:lvl w:ilvl="2">
      <w:start w:val="1"/>
      <w:numFmt w:val="bullet"/>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abstractNum w:abstractNumId="14">
    <w:nsid w:val="1A6C5517"/>
    <w:multiLevelType w:val="multilevel"/>
    <w:tmpl w:val="7AC6A14E"/>
    <w:numStyleLink w:val="UrbanNumberedList"/>
  </w:abstractNum>
  <w:abstractNum w:abstractNumId="15">
    <w:nsid w:val="1DDE73E0"/>
    <w:multiLevelType w:val="multilevel"/>
    <w:tmpl w:val="33B056D0"/>
    <w:numStyleLink w:val="UrbanBulletedList"/>
  </w:abstractNum>
  <w:abstractNum w:abstractNumId="16">
    <w:nsid w:val="22B3563B"/>
    <w:multiLevelType w:val="hybridMultilevel"/>
    <w:tmpl w:val="A9941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E64354"/>
    <w:multiLevelType w:val="hybridMultilevel"/>
    <w:tmpl w:val="726A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1A0F72"/>
    <w:multiLevelType w:val="multilevel"/>
    <w:tmpl w:val="7AC6A14E"/>
    <w:lvl w:ilvl="0">
      <w:start w:val="1"/>
      <w:numFmt w:val="decimal"/>
      <w:lvlText w:val="%1."/>
      <w:lvlJc w:val="left"/>
      <w:pPr>
        <w:ind w:left="288" w:hanging="288"/>
      </w:pPr>
      <w:rPr>
        <w:rFonts w:asciiTheme="minorHAnsi" w:hAnsiTheme="minorHAnsi" w:hint="default"/>
        <w:i w:val="0"/>
        <w:color w:val="A04DA3" w:themeColor="accent3"/>
        <w:sz w:val="20"/>
      </w:rPr>
    </w:lvl>
    <w:lvl w:ilvl="1">
      <w:start w:val="1"/>
      <w:numFmt w:val="upperLetter"/>
      <w:lvlText w:val="%2."/>
      <w:lvlJc w:val="left"/>
      <w:pPr>
        <w:ind w:left="792" w:hanging="288"/>
      </w:pPr>
      <w:rPr>
        <w:rFonts w:asciiTheme="minorHAnsi" w:hAnsiTheme="minorHAnsi" w:hint="default"/>
        <w:b w:val="0"/>
        <w:i w:val="0"/>
        <w:color w:val="438086" w:themeColor="accent2"/>
        <w:sz w:val="20"/>
      </w:rPr>
    </w:lvl>
    <w:lvl w:ilvl="2">
      <w:start w:val="1"/>
      <w:numFmt w:val="lowerRoman"/>
      <w:lvlText w:val="%3."/>
      <w:lvlJc w:val="right"/>
      <w:pPr>
        <w:ind w:left="1296" w:hanging="288"/>
      </w:pPr>
      <w:rPr>
        <w:rFonts w:asciiTheme="minorHAnsi" w:hAnsiTheme="minorHAnsi" w:hint="default"/>
        <w:b w:val="0"/>
        <w:i w:val="0"/>
        <w:color w:val="53548A" w:themeColor="accent1"/>
        <w:sz w:val="20"/>
      </w:rPr>
    </w:lvl>
    <w:lvl w:ilvl="3">
      <w:start w:val="1"/>
      <w:numFmt w:val="decimal"/>
      <w:lvlText w:val="%4."/>
      <w:lvlJc w:val="left"/>
      <w:pPr>
        <w:ind w:left="1800" w:hanging="288"/>
      </w:pPr>
      <w:rPr>
        <w:rFonts w:asciiTheme="minorHAnsi" w:hAnsiTheme="minorHAnsi" w:hint="default"/>
        <w:b w:val="0"/>
        <w:i w:val="0"/>
        <w:color w:val="53548A" w:themeColor="accent1"/>
        <w:sz w:val="20"/>
      </w:rPr>
    </w:lvl>
    <w:lvl w:ilvl="4">
      <w:start w:val="1"/>
      <w:numFmt w:val="lowerLetter"/>
      <w:lvlText w:val="%5."/>
      <w:lvlJc w:val="left"/>
      <w:pPr>
        <w:ind w:left="2304" w:hanging="288"/>
      </w:pPr>
      <w:rPr>
        <w:rFonts w:asciiTheme="minorHAnsi" w:hAnsiTheme="minorHAnsi" w:hint="default"/>
        <w:b w:val="0"/>
        <w:i w:val="0"/>
        <w:color w:val="53548A" w:themeColor="accent1"/>
        <w:sz w:val="20"/>
      </w:rPr>
    </w:lvl>
    <w:lvl w:ilvl="5">
      <w:start w:val="1"/>
      <w:numFmt w:val="lowerRoman"/>
      <w:lvlText w:val="%6."/>
      <w:lvlJc w:val="right"/>
      <w:pPr>
        <w:ind w:left="2808" w:hanging="288"/>
      </w:pPr>
      <w:rPr>
        <w:rFonts w:asciiTheme="minorHAnsi" w:hAnsiTheme="minorHAnsi" w:hint="default"/>
        <w:b w:val="0"/>
        <w:i w:val="0"/>
        <w:color w:val="53548A" w:themeColor="accent1"/>
        <w:sz w:val="20"/>
      </w:rPr>
    </w:lvl>
    <w:lvl w:ilvl="6">
      <w:start w:val="1"/>
      <w:numFmt w:val="decimal"/>
      <w:lvlText w:val="%7."/>
      <w:lvlJc w:val="left"/>
      <w:pPr>
        <w:ind w:left="3312" w:hanging="288"/>
      </w:pPr>
      <w:rPr>
        <w:rFonts w:asciiTheme="minorHAnsi" w:hAnsiTheme="minorHAnsi" w:hint="default"/>
        <w:b w:val="0"/>
        <w:i w:val="0"/>
        <w:color w:val="53548A" w:themeColor="accent1"/>
        <w:sz w:val="20"/>
      </w:rPr>
    </w:lvl>
    <w:lvl w:ilvl="7">
      <w:start w:val="1"/>
      <w:numFmt w:val="lowerLetter"/>
      <w:lvlText w:val="%8."/>
      <w:lvlJc w:val="left"/>
      <w:pPr>
        <w:ind w:left="3816" w:hanging="288"/>
      </w:pPr>
      <w:rPr>
        <w:rFonts w:asciiTheme="minorHAnsi" w:hAnsiTheme="minorHAnsi" w:hint="default"/>
        <w:b w:val="0"/>
        <w:i w:val="0"/>
        <w:color w:val="53548A" w:themeColor="accent1"/>
        <w:sz w:val="20"/>
      </w:rPr>
    </w:lvl>
    <w:lvl w:ilvl="8">
      <w:start w:val="1"/>
      <w:numFmt w:val="lowerRoman"/>
      <w:lvlText w:val="%9."/>
      <w:lvlJc w:val="right"/>
      <w:pPr>
        <w:ind w:left="4320" w:hanging="288"/>
      </w:pPr>
      <w:rPr>
        <w:rFonts w:asciiTheme="minorHAnsi" w:hAnsiTheme="minorHAnsi" w:hint="default"/>
        <w:b w:val="0"/>
        <w:i w:val="0"/>
        <w:color w:val="53548A" w:themeColor="accent1"/>
        <w:sz w:val="20"/>
      </w:rPr>
    </w:lvl>
  </w:abstractNum>
  <w:abstractNum w:abstractNumId="19">
    <w:nsid w:val="308C1F36"/>
    <w:multiLevelType w:val="hybridMultilevel"/>
    <w:tmpl w:val="3AE83DDC"/>
    <w:lvl w:ilvl="0" w:tplc="0409000F">
      <w:start w:val="1"/>
      <w:numFmt w:val="decimal"/>
      <w:lvlText w:val="%1."/>
      <w:lvlJc w:val="left"/>
      <w:pPr>
        <w:ind w:left="1440" w:hanging="360"/>
      </w:pPr>
    </w:lvl>
    <w:lvl w:ilvl="1" w:tplc="84D2ED82">
      <w:start w:val="1"/>
      <w:numFmt w:val="lowerLetter"/>
      <w:lvlText w:val="%2."/>
      <w:lvlJc w:val="left"/>
      <w:pPr>
        <w:ind w:left="2160" w:hanging="360"/>
      </w:pPr>
      <w:rPr>
        <w:color w:val="424456" w:themeColor="text2"/>
      </w:rPr>
    </w:lvl>
    <w:lvl w:ilvl="2" w:tplc="553E7D70">
      <w:start w:val="1"/>
      <w:numFmt w:val="lowerRoman"/>
      <w:lvlText w:val="%3."/>
      <w:lvlJc w:val="right"/>
      <w:pPr>
        <w:ind w:left="2880" w:hanging="180"/>
      </w:pPr>
      <w:rPr>
        <w:color w:val="424456" w:themeColor="text2"/>
      </w:rPr>
    </w:lvl>
    <w:lvl w:ilvl="3" w:tplc="DEE48288">
      <w:start w:val="1"/>
      <w:numFmt w:val="decimal"/>
      <w:lvlText w:val="%4."/>
      <w:lvlJc w:val="left"/>
      <w:pPr>
        <w:ind w:left="3600" w:hanging="360"/>
      </w:pPr>
      <w:rPr>
        <w:color w:val="424456" w:themeColor="text2"/>
      </w:r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0">
    <w:nsid w:val="35E71CD9"/>
    <w:multiLevelType w:val="hybridMultilevel"/>
    <w:tmpl w:val="39D65854"/>
    <w:lvl w:ilvl="0" w:tplc="07525450">
      <w:start w:val="1"/>
      <w:numFmt w:val="bullet"/>
      <w:lvlText w:val=""/>
      <w:lvlJc w:val="left"/>
      <w:pPr>
        <w:ind w:left="1440" w:hanging="360"/>
      </w:pPr>
      <w:rPr>
        <w:rFonts w:ascii="Symbol" w:hAnsi="Symbol" w:cs="Symbol" w:hint="default"/>
        <w:color w:val="A04DA3" w:themeColor="accent3"/>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21">
    <w:nsid w:val="36A80E22"/>
    <w:multiLevelType w:val="hybridMultilevel"/>
    <w:tmpl w:val="CF765A9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nsid w:val="3B1A0667"/>
    <w:multiLevelType w:val="hybridMultilevel"/>
    <w:tmpl w:val="95E042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3D9C46A3"/>
    <w:multiLevelType w:val="multilevel"/>
    <w:tmpl w:val="33B056D0"/>
    <w:styleLink w:val="UrbanBulletedList"/>
    <w:lvl w:ilvl="0">
      <w:start w:val="1"/>
      <w:numFmt w:val="bullet"/>
      <w:pStyle w:val="Bullet1"/>
      <w:lvlText w:val=""/>
      <w:lvlJc w:val="left"/>
      <w:pPr>
        <w:ind w:left="216" w:hanging="216"/>
      </w:pPr>
      <w:rPr>
        <w:rFonts w:ascii="Symbol" w:hAnsi="Symbol" w:hint="default"/>
        <w:b w:val="0"/>
        <w:i w:val="0"/>
        <w:color w:val="A04DA3" w:themeColor="accent3"/>
        <w:sz w:val="18"/>
      </w:rPr>
    </w:lvl>
    <w:lvl w:ilvl="1">
      <w:start w:val="1"/>
      <w:numFmt w:val="bullet"/>
      <w:pStyle w:val="Bullet2"/>
      <w:lvlText w:val=""/>
      <w:lvlJc w:val="left"/>
      <w:pPr>
        <w:ind w:left="461" w:hanging="216"/>
      </w:pPr>
      <w:rPr>
        <w:rFonts w:ascii="Wingdings" w:hAnsi="Wingdings" w:hint="default"/>
        <w:b w:val="0"/>
        <w:i w:val="0"/>
        <w:color w:val="438086" w:themeColor="accent2"/>
        <w:sz w:val="12"/>
      </w:rPr>
    </w:lvl>
    <w:lvl w:ilvl="2">
      <w:start w:val="1"/>
      <w:numFmt w:val="bullet"/>
      <w:pStyle w:val="Bullet3"/>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abstractNum w:abstractNumId="24">
    <w:nsid w:val="40B17DB9"/>
    <w:multiLevelType w:val="hybridMultilevel"/>
    <w:tmpl w:val="A0BE2AD0"/>
    <w:lvl w:ilvl="0" w:tplc="C4045840">
      <w:start w:val="1"/>
      <w:numFmt w:val="decimal"/>
      <w:lvlText w:val="%1."/>
      <w:lvlJc w:val="left"/>
      <w:pPr>
        <w:ind w:left="720" w:hanging="360"/>
      </w:pPr>
      <w:rPr>
        <w:rFonts w:asciiTheme="majorHAnsi" w:hAnsiTheme="majorHAnsi" w:hint="default"/>
        <w:color w:val="325F64" w:themeColor="accent2" w:themeShade="BF"/>
        <w:sz w:val="18"/>
        <w:szCs w:val="18"/>
        <w:u w:val="none"/>
      </w:rPr>
    </w:lvl>
    <w:lvl w:ilvl="1" w:tplc="098C87B0">
      <w:start w:val="1"/>
      <w:numFmt w:val="lowerLetter"/>
      <w:lvlText w:val="%2."/>
      <w:lvlJc w:val="left"/>
      <w:pPr>
        <w:ind w:left="1440" w:hanging="360"/>
      </w:pPr>
      <w:rPr>
        <w:color w:val="438086" w:themeColor="accent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C57BC7"/>
    <w:multiLevelType w:val="hybridMultilevel"/>
    <w:tmpl w:val="5064A2F4"/>
    <w:lvl w:ilvl="0" w:tplc="BDC83ACC">
      <w:start w:val="1"/>
      <w:numFmt w:val="bullet"/>
      <w:lvlText w:val=""/>
      <w:lvlJc w:val="left"/>
      <w:pPr>
        <w:ind w:left="720" w:hanging="360"/>
      </w:pPr>
      <w:rPr>
        <w:rFonts w:ascii="Wingdings" w:hAnsi="Wingdings" w:cs="Wingdings" w:hint="default"/>
        <w:color w:val="325F64" w:themeColor="accent2" w:themeShade="BF"/>
        <w:sz w:val="16"/>
        <w:szCs w:val="16"/>
      </w:rPr>
    </w:lvl>
    <w:lvl w:ilvl="1" w:tplc="E896886C">
      <w:start w:val="1"/>
      <w:numFmt w:val="bullet"/>
      <w:lvlText w:val=""/>
      <w:lvlJc w:val="left"/>
      <w:pPr>
        <w:ind w:left="1440" w:hanging="360"/>
      </w:pPr>
      <w:rPr>
        <w:rFonts w:ascii="Wingdings" w:hAnsi="Wingdings" w:cs="Wingdings" w:hint="default"/>
        <w:color w:val="438086" w:themeColor="accent2"/>
        <w:sz w:val="16"/>
        <w:szCs w:val="16"/>
      </w:rPr>
    </w:lvl>
    <w:lvl w:ilvl="2" w:tplc="13C0FDF8">
      <w:start w:val="1"/>
      <w:numFmt w:val="bullet"/>
      <w:lvlText w:val=""/>
      <w:lvlJc w:val="left"/>
      <w:pPr>
        <w:ind w:left="2160" w:hanging="360"/>
      </w:pPr>
      <w:rPr>
        <w:rFonts w:ascii="Wingdings" w:hAnsi="Wingdings" w:cs="Wingdings" w:hint="default"/>
        <w:color w:val="83BBC1" w:themeColor="accent2" w:themeTint="99"/>
        <w:sz w:val="16"/>
        <w:szCs w:val="16"/>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nsid w:val="48785B94"/>
    <w:multiLevelType w:val="multilevel"/>
    <w:tmpl w:val="33B056D0"/>
    <w:lvl w:ilvl="0">
      <w:start w:val="1"/>
      <w:numFmt w:val="bullet"/>
      <w:lvlText w:val=""/>
      <w:lvlJc w:val="left"/>
      <w:pPr>
        <w:ind w:left="216" w:hanging="216"/>
      </w:pPr>
      <w:rPr>
        <w:rFonts w:ascii="Symbol" w:hAnsi="Symbol" w:hint="default"/>
        <w:b w:val="0"/>
        <w:i w:val="0"/>
        <w:color w:val="A04DA3" w:themeColor="accent3"/>
        <w:sz w:val="18"/>
      </w:rPr>
    </w:lvl>
    <w:lvl w:ilvl="1">
      <w:start w:val="1"/>
      <w:numFmt w:val="bullet"/>
      <w:lvlText w:val=""/>
      <w:lvlJc w:val="left"/>
      <w:pPr>
        <w:ind w:left="461" w:hanging="216"/>
      </w:pPr>
      <w:rPr>
        <w:rFonts w:ascii="Wingdings" w:hAnsi="Wingdings" w:hint="default"/>
        <w:b w:val="0"/>
        <w:i w:val="0"/>
        <w:color w:val="438086" w:themeColor="accent2"/>
        <w:sz w:val="12"/>
      </w:rPr>
    </w:lvl>
    <w:lvl w:ilvl="2">
      <w:start w:val="1"/>
      <w:numFmt w:val="bullet"/>
      <w:lvlText w:val=""/>
      <w:lvlJc w:val="left"/>
      <w:pPr>
        <w:ind w:left="706" w:hanging="216"/>
      </w:pPr>
      <w:rPr>
        <w:rFonts w:ascii="Symbol" w:hAnsi="Symbol" w:hint="default"/>
        <w:b w:val="0"/>
        <w:i w:val="0"/>
        <w:color w:val="53548A" w:themeColor="accent1"/>
        <w:sz w:val="16"/>
      </w:rPr>
    </w:lvl>
    <w:lvl w:ilvl="3">
      <w:start w:val="1"/>
      <w:numFmt w:val="bullet"/>
      <w:lvlText w:val=""/>
      <w:lvlJc w:val="left"/>
      <w:pPr>
        <w:ind w:left="951" w:hanging="216"/>
      </w:pPr>
      <w:rPr>
        <w:rFonts w:ascii="Symbol" w:hAnsi="Symbol" w:hint="default"/>
        <w:b w:val="0"/>
        <w:i w:val="0"/>
        <w:color w:val="53548A" w:themeColor="accent1"/>
        <w:sz w:val="16"/>
      </w:rPr>
    </w:lvl>
    <w:lvl w:ilvl="4">
      <w:start w:val="1"/>
      <w:numFmt w:val="bullet"/>
      <w:lvlText w:val=""/>
      <w:lvlJc w:val="left"/>
      <w:pPr>
        <w:ind w:left="1196" w:hanging="216"/>
      </w:pPr>
      <w:rPr>
        <w:rFonts w:ascii="Symbol" w:hAnsi="Symbol" w:hint="default"/>
        <w:color w:val="53548A" w:themeColor="accent1"/>
        <w:sz w:val="16"/>
      </w:rPr>
    </w:lvl>
    <w:lvl w:ilvl="5">
      <w:start w:val="1"/>
      <w:numFmt w:val="bullet"/>
      <w:lvlText w:val=""/>
      <w:lvlJc w:val="left"/>
      <w:pPr>
        <w:ind w:left="1441" w:hanging="216"/>
      </w:pPr>
      <w:rPr>
        <w:rFonts w:ascii="Symbol" w:hAnsi="Symbol" w:hint="default"/>
        <w:color w:val="53548A" w:themeColor="accent1"/>
        <w:sz w:val="16"/>
      </w:rPr>
    </w:lvl>
    <w:lvl w:ilvl="6">
      <w:start w:val="1"/>
      <w:numFmt w:val="bullet"/>
      <w:lvlText w:val=""/>
      <w:lvlJc w:val="left"/>
      <w:pPr>
        <w:ind w:left="1686" w:hanging="216"/>
      </w:pPr>
      <w:rPr>
        <w:rFonts w:ascii="Symbol" w:hAnsi="Symbol" w:hint="default"/>
        <w:color w:val="53548A" w:themeColor="accent1"/>
        <w:sz w:val="16"/>
      </w:rPr>
    </w:lvl>
    <w:lvl w:ilvl="7">
      <w:start w:val="1"/>
      <w:numFmt w:val="bullet"/>
      <w:lvlText w:val=""/>
      <w:lvlJc w:val="left"/>
      <w:pPr>
        <w:ind w:left="1931" w:hanging="216"/>
      </w:pPr>
      <w:rPr>
        <w:rFonts w:ascii="Symbol" w:hAnsi="Symbol" w:hint="default"/>
        <w:color w:val="53548A" w:themeColor="accent1"/>
        <w:sz w:val="16"/>
      </w:rPr>
    </w:lvl>
    <w:lvl w:ilvl="8">
      <w:start w:val="1"/>
      <w:numFmt w:val="bullet"/>
      <w:lvlText w:val=""/>
      <w:lvlJc w:val="left"/>
      <w:pPr>
        <w:ind w:left="2176" w:hanging="216"/>
      </w:pPr>
      <w:rPr>
        <w:rFonts w:ascii="Symbol" w:hAnsi="Symbol" w:hint="default"/>
        <w:color w:val="53548A" w:themeColor="accent1"/>
        <w:sz w:val="16"/>
      </w:rPr>
    </w:lvl>
  </w:abstractNum>
  <w:abstractNum w:abstractNumId="27">
    <w:nsid w:val="533E40BF"/>
    <w:multiLevelType w:val="hybridMultilevel"/>
    <w:tmpl w:val="50F40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AC165C"/>
    <w:multiLevelType w:val="hybridMultilevel"/>
    <w:tmpl w:val="0062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E8022B"/>
    <w:multiLevelType w:val="multilevel"/>
    <w:tmpl w:val="33B056D0"/>
    <w:numStyleLink w:val="UrbanBulletedList"/>
  </w:abstractNum>
  <w:abstractNum w:abstractNumId="30">
    <w:nsid w:val="6F0D0B31"/>
    <w:multiLevelType w:val="multilevel"/>
    <w:tmpl w:val="7AC6A14E"/>
    <w:numStyleLink w:val="UrbanNumberedList"/>
  </w:abstractNum>
  <w:abstractNum w:abstractNumId="31">
    <w:nsid w:val="72817FF1"/>
    <w:multiLevelType w:val="hybridMultilevel"/>
    <w:tmpl w:val="702CD21C"/>
    <w:lvl w:ilvl="0" w:tplc="07525450">
      <w:start w:val="1"/>
      <w:numFmt w:val="bullet"/>
      <w:lvlText w:val=""/>
      <w:lvlJc w:val="left"/>
      <w:pPr>
        <w:ind w:left="1440" w:hanging="360"/>
      </w:pPr>
      <w:rPr>
        <w:rFonts w:ascii="Symbol" w:hAnsi="Symbol" w:cs="Symbol" w:hint="default"/>
        <w:color w:val="A04DA3" w:themeColor="accent3"/>
      </w:rPr>
    </w:lvl>
    <w:lvl w:ilvl="1" w:tplc="F4389890">
      <w:start w:val="1"/>
      <w:numFmt w:val="bullet"/>
      <w:lvlText w:val=""/>
      <w:lvlJc w:val="left"/>
      <w:pPr>
        <w:ind w:left="2160" w:hanging="360"/>
      </w:pPr>
      <w:rPr>
        <w:rFonts w:ascii="Wingdings" w:hAnsi="Wingdings" w:cs="Wingdings" w:hint="default"/>
        <w:color w:val="438086" w:themeColor="accent2"/>
        <w:sz w:val="12"/>
        <w:szCs w:val="12"/>
      </w:rPr>
    </w:lvl>
    <w:lvl w:ilvl="2" w:tplc="9A9E4A9C">
      <w:start w:val="1"/>
      <w:numFmt w:val="bullet"/>
      <w:lvlText w:val=""/>
      <w:lvlJc w:val="left"/>
      <w:pPr>
        <w:ind w:left="2880" w:hanging="360"/>
      </w:pPr>
      <w:rPr>
        <w:rFonts w:ascii="Symbol" w:hAnsi="Symbol" w:cs="Symbol" w:hint="default"/>
        <w:color w:val="53548A" w:themeColor="accent1"/>
        <w:sz w:val="16"/>
        <w:szCs w:val="16"/>
      </w:rPr>
    </w:lvl>
    <w:lvl w:ilvl="3" w:tplc="96863BBE">
      <w:start w:val="1"/>
      <w:numFmt w:val="bullet"/>
      <w:lvlText w:val=""/>
      <w:lvlJc w:val="left"/>
      <w:pPr>
        <w:ind w:left="3600" w:hanging="360"/>
      </w:pPr>
      <w:rPr>
        <w:rFonts w:ascii="Symbol" w:hAnsi="Symbol" w:cs="Symbol" w:hint="default"/>
        <w:sz w:val="16"/>
        <w:szCs w:val="16"/>
      </w:rPr>
    </w:lvl>
    <w:lvl w:ilvl="4" w:tplc="98987F98">
      <w:start w:val="1"/>
      <w:numFmt w:val="bullet"/>
      <w:lvlText w:val=""/>
      <w:lvlJc w:val="left"/>
      <w:pPr>
        <w:ind w:left="4320" w:hanging="360"/>
      </w:pPr>
      <w:rPr>
        <w:rFonts w:ascii="Symbol" w:hAnsi="Symbol" w:cs="Symbol" w:hint="default"/>
        <w:sz w:val="16"/>
        <w:szCs w:val="16"/>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32">
    <w:nsid w:val="76740294"/>
    <w:multiLevelType w:val="multilevel"/>
    <w:tmpl w:val="33B056D0"/>
    <w:numStyleLink w:val="UrbanBulletedList"/>
  </w:abstractNum>
  <w:abstractNum w:abstractNumId="33">
    <w:nsid w:val="76921C5B"/>
    <w:multiLevelType w:val="multilevel"/>
    <w:tmpl w:val="33B056D0"/>
    <w:numStyleLink w:val="UrbanBulletedList"/>
  </w:abstractNum>
  <w:abstractNum w:abstractNumId="34">
    <w:nsid w:val="7E025C09"/>
    <w:multiLevelType w:val="multilevel"/>
    <w:tmpl w:val="33B056D0"/>
    <w:numStyleLink w:val="UrbanBulletedList"/>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24"/>
  </w:num>
  <w:num w:numId="13">
    <w:abstractNumId w:val="25"/>
  </w:num>
  <w:num w:numId="14">
    <w:abstractNumId w:val="20"/>
  </w:num>
  <w:num w:numId="15">
    <w:abstractNumId w:val="31"/>
  </w:num>
  <w:num w:numId="16">
    <w:abstractNumId w:val="19"/>
  </w:num>
  <w:num w:numId="17">
    <w:abstractNumId w:val="23"/>
  </w:num>
  <w:num w:numId="18">
    <w:abstractNumId w:val="11"/>
  </w:num>
  <w:num w:numId="19">
    <w:abstractNumId w:val="32"/>
  </w:num>
  <w:num w:numId="20">
    <w:abstractNumId w:val="33"/>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start w:val="1"/>
        <w:numFmt w:val="bullet"/>
        <w:lvlText w:val=""/>
        <w:lvlJc w:val="left"/>
        <w:pPr>
          <w:ind w:left="1196" w:hanging="216"/>
        </w:pPr>
        <w:rPr>
          <w:rFonts w:ascii="Symbol" w:hAnsi="Symbol" w:hint="default"/>
          <w:color w:val="53548A" w:themeColor="accent1"/>
          <w:sz w:val="18"/>
          <w:szCs w:val="18"/>
        </w:rPr>
      </w:lvl>
    </w:lvlOverride>
  </w:num>
  <w:num w:numId="21">
    <w:abstractNumId w:val="29"/>
    <w:lvlOverride w:ilvl="0">
      <w:lvl w:ilvl="0">
        <w:start w:val="1"/>
        <w:numFmt w:val="bullet"/>
        <w:lvlText w:val=""/>
        <w:lvlJc w:val="left"/>
        <w:pPr>
          <w:ind w:left="216" w:hanging="216"/>
        </w:pPr>
        <w:rPr>
          <w:rFonts w:ascii="Symbol" w:hAnsi="Symbol" w:hint="default"/>
          <w:b w:val="0"/>
          <w:i w:val="0"/>
          <w:color w:val="A04DA3" w:themeColor="accent3"/>
          <w:sz w:val="18"/>
          <w:szCs w:val="18"/>
        </w:rPr>
      </w:lvl>
    </w:lvlOverride>
  </w:num>
  <w:num w:numId="22">
    <w:abstractNumId w:val="12"/>
  </w:num>
  <w:num w:numId="23">
    <w:abstractNumId w:val="30"/>
  </w:num>
  <w:num w:numId="24">
    <w:abstractNumId w:val="14"/>
  </w:num>
  <w:num w:numId="25">
    <w:abstractNumId w:val="13"/>
  </w:num>
  <w:num w:numId="26">
    <w:abstractNumId w:val="10"/>
  </w:num>
  <w:num w:numId="27">
    <w:abstractNumId w:val="34"/>
  </w:num>
  <w:num w:numId="28">
    <w:abstractNumId w:val="26"/>
  </w:num>
  <w:num w:numId="29">
    <w:abstractNumId w:val="18"/>
  </w:num>
  <w:num w:numId="30">
    <w:abstractNumId w:val="15"/>
  </w:num>
  <w:num w:numId="31">
    <w:abstractNumId w:val="15"/>
  </w:num>
  <w:num w:numId="32">
    <w:abstractNumId w:val="15"/>
  </w:num>
  <w:num w:numId="33">
    <w:abstractNumId w:val="23"/>
  </w:num>
  <w:num w:numId="34">
    <w:abstractNumId w:val="12"/>
  </w:num>
  <w:num w:numId="35">
    <w:abstractNumId w:val="16"/>
  </w:num>
  <w:num w:numId="36">
    <w:abstractNumId w:val="27"/>
  </w:num>
  <w:num w:numId="37">
    <w:abstractNumId w:val="17"/>
  </w:num>
  <w:num w:numId="38">
    <w:abstractNumId w:val="2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DateAndTime/>
  <w:proofState w:spelling="clean" w:grammar="clean"/>
  <w:attachedTemplate r:id="rId1"/>
  <w:defaultTabStop w:val="720"/>
  <w:drawingGridHorizontalSpacing w:val="100"/>
  <w:displayHorizontalDrawingGridEvery w:val="2"/>
  <w:characterSpacingControl w:val="doNotCompress"/>
  <w:hdrShapeDefaults>
    <o:shapedefaults v:ext="edit" spidmax="2049" fillcolor="white">
      <v:fill color="white"/>
      <o:colormru v:ext="edit" colors="#334c4f,#79b5b0,#b77851,#d1e1e3,#066,#7ea8ac,#4e767a,#293d3f"/>
    </o:shapedefaults>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034"/>
    <w:rsid w:val="0001111F"/>
    <w:rsid w:val="000162D9"/>
    <w:rsid w:val="00027867"/>
    <w:rsid w:val="00043E8C"/>
    <w:rsid w:val="00052385"/>
    <w:rsid w:val="00053011"/>
    <w:rsid w:val="000570B3"/>
    <w:rsid w:val="000642E1"/>
    <w:rsid w:val="00070586"/>
    <w:rsid w:val="00071D3D"/>
    <w:rsid w:val="00074742"/>
    <w:rsid w:val="00075297"/>
    <w:rsid w:val="0008134C"/>
    <w:rsid w:val="00084019"/>
    <w:rsid w:val="000841AA"/>
    <w:rsid w:val="000908B7"/>
    <w:rsid w:val="000C059B"/>
    <w:rsid w:val="000C0F61"/>
    <w:rsid w:val="000C2B6A"/>
    <w:rsid w:val="000D6F9A"/>
    <w:rsid w:val="000F3E2E"/>
    <w:rsid w:val="000F63EB"/>
    <w:rsid w:val="001074F3"/>
    <w:rsid w:val="001077C5"/>
    <w:rsid w:val="001104A1"/>
    <w:rsid w:val="00114A09"/>
    <w:rsid w:val="001223AC"/>
    <w:rsid w:val="00130C4F"/>
    <w:rsid w:val="00132AF5"/>
    <w:rsid w:val="00140F5B"/>
    <w:rsid w:val="001528E8"/>
    <w:rsid w:val="0015588C"/>
    <w:rsid w:val="00157251"/>
    <w:rsid w:val="00157F00"/>
    <w:rsid w:val="00180D71"/>
    <w:rsid w:val="00181031"/>
    <w:rsid w:val="00182A2F"/>
    <w:rsid w:val="001917F3"/>
    <w:rsid w:val="00196B77"/>
    <w:rsid w:val="00196C36"/>
    <w:rsid w:val="00197D90"/>
    <w:rsid w:val="001A7A1B"/>
    <w:rsid w:val="001B48E3"/>
    <w:rsid w:val="001B5A6F"/>
    <w:rsid w:val="001D1550"/>
    <w:rsid w:val="001D2991"/>
    <w:rsid w:val="001D37EB"/>
    <w:rsid w:val="001D72B8"/>
    <w:rsid w:val="001E1A51"/>
    <w:rsid w:val="001E34D5"/>
    <w:rsid w:val="001E5269"/>
    <w:rsid w:val="001F3EA3"/>
    <w:rsid w:val="00200D25"/>
    <w:rsid w:val="002016EE"/>
    <w:rsid w:val="0020224E"/>
    <w:rsid w:val="00202B02"/>
    <w:rsid w:val="00202B26"/>
    <w:rsid w:val="00210965"/>
    <w:rsid w:val="00211397"/>
    <w:rsid w:val="0022183A"/>
    <w:rsid w:val="00222006"/>
    <w:rsid w:val="002235FD"/>
    <w:rsid w:val="0023752D"/>
    <w:rsid w:val="00253B14"/>
    <w:rsid w:val="002610EB"/>
    <w:rsid w:val="00262F89"/>
    <w:rsid w:val="002632B4"/>
    <w:rsid w:val="0026684C"/>
    <w:rsid w:val="0027486C"/>
    <w:rsid w:val="00277D80"/>
    <w:rsid w:val="00280970"/>
    <w:rsid w:val="00281ADD"/>
    <w:rsid w:val="00282C09"/>
    <w:rsid w:val="00284CF7"/>
    <w:rsid w:val="00291707"/>
    <w:rsid w:val="00294C34"/>
    <w:rsid w:val="002A12D3"/>
    <w:rsid w:val="002A3E6D"/>
    <w:rsid w:val="002A491D"/>
    <w:rsid w:val="002A581E"/>
    <w:rsid w:val="002A60F1"/>
    <w:rsid w:val="002B042C"/>
    <w:rsid w:val="002B126B"/>
    <w:rsid w:val="002B50FE"/>
    <w:rsid w:val="002B685F"/>
    <w:rsid w:val="002C1F84"/>
    <w:rsid w:val="002C27FE"/>
    <w:rsid w:val="002C5C0E"/>
    <w:rsid w:val="002C6B43"/>
    <w:rsid w:val="002D4E15"/>
    <w:rsid w:val="00304965"/>
    <w:rsid w:val="00311CF1"/>
    <w:rsid w:val="003130EC"/>
    <w:rsid w:val="00315663"/>
    <w:rsid w:val="00317CCC"/>
    <w:rsid w:val="00320928"/>
    <w:rsid w:val="0032402B"/>
    <w:rsid w:val="00325C6C"/>
    <w:rsid w:val="00327EA8"/>
    <w:rsid w:val="0033307C"/>
    <w:rsid w:val="00335ABA"/>
    <w:rsid w:val="00335D63"/>
    <w:rsid w:val="00341EAB"/>
    <w:rsid w:val="00354803"/>
    <w:rsid w:val="003615CA"/>
    <w:rsid w:val="0036194D"/>
    <w:rsid w:val="00362CF0"/>
    <w:rsid w:val="00363291"/>
    <w:rsid w:val="00365E22"/>
    <w:rsid w:val="00380C0D"/>
    <w:rsid w:val="00381E38"/>
    <w:rsid w:val="00384BC1"/>
    <w:rsid w:val="00392C92"/>
    <w:rsid w:val="00392CFA"/>
    <w:rsid w:val="003967EA"/>
    <w:rsid w:val="003A2C66"/>
    <w:rsid w:val="003A58DE"/>
    <w:rsid w:val="003A7EB6"/>
    <w:rsid w:val="003B2782"/>
    <w:rsid w:val="003B52BF"/>
    <w:rsid w:val="003B6B38"/>
    <w:rsid w:val="003B6E6B"/>
    <w:rsid w:val="003C290D"/>
    <w:rsid w:val="003C53F5"/>
    <w:rsid w:val="003D075D"/>
    <w:rsid w:val="003D11A7"/>
    <w:rsid w:val="003E30E3"/>
    <w:rsid w:val="003E58EE"/>
    <w:rsid w:val="003E6B4B"/>
    <w:rsid w:val="003E7587"/>
    <w:rsid w:val="003F7982"/>
    <w:rsid w:val="00400E72"/>
    <w:rsid w:val="00401E5E"/>
    <w:rsid w:val="004036C5"/>
    <w:rsid w:val="00405CAD"/>
    <w:rsid w:val="004076EA"/>
    <w:rsid w:val="00423077"/>
    <w:rsid w:val="00424DB7"/>
    <w:rsid w:val="00432C75"/>
    <w:rsid w:val="004338A7"/>
    <w:rsid w:val="0043435C"/>
    <w:rsid w:val="004355E4"/>
    <w:rsid w:val="00437416"/>
    <w:rsid w:val="00440D5E"/>
    <w:rsid w:val="00441BCB"/>
    <w:rsid w:val="00450727"/>
    <w:rsid w:val="00452183"/>
    <w:rsid w:val="00456EA5"/>
    <w:rsid w:val="0046505A"/>
    <w:rsid w:val="00465086"/>
    <w:rsid w:val="0047013A"/>
    <w:rsid w:val="004707E9"/>
    <w:rsid w:val="00474C9C"/>
    <w:rsid w:val="00481450"/>
    <w:rsid w:val="004815F0"/>
    <w:rsid w:val="00482EA5"/>
    <w:rsid w:val="004859BD"/>
    <w:rsid w:val="004918BB"/>
    <w:rsid w:val="004A0783"/>
    <w:rsid w:val="004A6E50"/>
    <w:rsid w:val="004A6EFB"/>
    <w:rsid w:val="004A7366"/>
    <w:rsid w:val="004C41C7"/>
    <w:rsid w:val="004C435F"/>
    <w:rsid w:val="004D2CDD"/>
    <w:rsid w:val="004D4BAA"/>
    <w:rsid w:val="004D66C8"/>
    <w:rsid w:val="004E192C"/>
    <w:rsid w:val="004F780D"/>
    <w:rsid w:val="00500E56"/>
    <w:rsid w:val="005017F8"/>
    <w:rsid w:val="00502C48"/>
    <w:rsid w:val="00503EF1"/>
    <w:rsid w:val="00504788"/>
    <w:rsid w:val="005064E9"/>
    <w:rsid w:val="0051547D"/>
    <w:rsid w:val="00515E07"/>
    <w:rsid w:val="00515E50"/>
    <w:rsid w:val="00524065"/>
    <w:rsid w:val="0052490A"/>
    <w:rsid w:val="005305E7"/>
    <w:rsid w:val="00534D05"/>
    <w:rsid w:val="00536232"/>
    <w:rsid w:val="005425D6"/>
    <w:rsid w:val="00545619"/>
    <w:rsid w:val="00551291"/>
    <w:rsid w:val="00552C10"/>
    <w:rsid w:val="00555A8B"/>
    <w:rsid w:val="005572D2"/>
    <w:rsid w:val="00557BF5"/>
    <w:rsid w:val="00561C91"/>
    <w:rsid w:val="005663B8"/>
    <w:rsid w:val="005664C2"/>
    <w:rsid w:val="00573FAA"/>
    <w:rsid w:val="00576374"/>
    <w:rsid w:val="00576A5B"/>
    <w:rsid w:val="00577EF7"/>
    <w:rsid w:val="00581FB2"/>
    <w:rsid w:val="00584B16"/>
    <w:rsid w:val="005850FE"/>
    <w:rsid w:val="00585F3D"/>
    <w:rsid w:val="00586E1C"/>
    <w:rsid w:val="005877BA"/>
    <w:rsid w:val="005921CE"/>
    <w:rsid w:val="0059468F"/>
    <w:rsid w:val="00594CC7"/>
    <w:rsid w:val="00596725"/>
    <w:rsid w:val="005B08A2"/>
    <w:rsid w:val="005B4DD9"/>
    <w:rsid w:val="005B6605"/>
    <w:rsid w:val="005C1C54"/>
    <w:rsid w:val="005E13E4"/>
    <w:rsid w:val="005E2FC5"/>
    <w:rsid w:val="005E507B"/>
    <w:rsid w:val="005F2D7D"/>
    <w:rsid w:val="006011E7"/>
    <w:rsid w:val="0060145D"/>
    <w:rsid w:val="00601BE1"/>
    <w:rsid w:val="00604060"/>
    <w:rsid w:val="00604E32"/>
    <w:rsid w:val="00623C61"/>
    <w:rsid w:val="0062449B"/>
    <w:rsid w:val="00626B1C"/>
    <w:rsid w:val="00626B76"/>
    <w:rsid w:val="00636D86"/>
    <w:rsid w:val="00645C17"/>
    <w:rsid w:val="00665552"/>
    <w:rsid w:val="0067636A"/>
    <w:rsid w:val="00680675"/>
    <w:rsid w:val="00681981"/>
    <w:rsid w:val="00681DA7"/>
    <w:rsid w:val="006827B7"/>
    <w:rsid w:val="00683FC1"/>
    <w:rsid w:val="0068694E"/>
    <w:rsid w:val="00692BC9"/>
    <w:rsid w:val="006A24A6"/>
    <w:rsid w:val="006A5982"/>
    <w:rsid w:val="006C0AC8"/>
    <w:rsid w:val="006C2B8C"/>
    <w:rsid w:val="006C3930"/>
    <w:rsid w:val="006C7098"/>
    <w:rsid w:val="006D1043"/>
    <w:rsid w:val="006D1FC6"/>
    <w:rsid w:val="006D6DFD"/>
    <w:rsid w:val="006E102C"/>
    <w:rsid w:val="006E32EC"/>
    <w:rsid w:val="006F59A9"/>
    <w:rsid w:val="00703F2D"/>
    <w:rsid w:val="00704DE5"/>
    <w:rsid w:val="00705CDC"/>
    <w:rsid w:val="00705F5C"/>
    <w:rsid w:val="0072030D"/>
    <w:rsid w:val="00726908"/>
    <w:rsid w:val="007313E0"/>
    <w:rsid w:val="0073299F"/>
    <w:rsid w:val="00740A72"/>
    <w:rsid w:val="00742805"/>
    <w:rsid w:val="00743994"/>
    <w:rsid w:val="00743B8E"/>
    <w:rsid w:val="0074507A"/>
    <w:rsid w:val="00746D4E"/>
    <w:rsid w:val="00747AD4"/>
    <w:rsid w:val="00750930"/>
    <w:rsid w:val="007520FF"/>
    <w:rsid w:val="00754084"/>
    <w:rsid w:val="00772004"/>
    <w:rsid w:val="0077745D"/>
    <w:rsid w:val="0078462C"/>
    <w:rsid w:val="00785D6C"/>
    <w:rsid w:val="007948A2"/>
    <w:rsid w:val="00795652"/>
    <w:rsid w:val="00795ED6"/>
    <w:rsid w:val="007A78E5"/>
    <w:rsid w:val="007B3A7B"/>
    <w:rsid w:val="007B64E3"/>
    <w:rsid w:val="007C0A82"/>
    <w:rsid w:val="007C7C74"/>
    <w:rsid w:val="007D4172"/>
    <w:rsid w:val="007D6504"/>
    <w:rsid w:val="007E7D3F"/>
    <w:rsid w:val="007E7ED5"/>
    <w:rsid w:val="007F117D"/>
    <w:rsid w:val="007F24CD"/>
    <w:rsid w:val="007F304D"/>
    <w:rsid w:val="007F4228"/>
    <w:rsid w:val="007F5EB8"/>
    <w:rsid w:val="0080184F"/>
    <w:rsid w:val="00803C14"/>
    <w:rsid w:val="00806690"/>
    <w:rsid w:val="00816D24"/>
    <w:rsid w:val="008315A4"/>
    <w:rsid w:val="00831610"/>
    <w:rsid w:val="00832663"/>
    <w:rsid w:val="00850978"/>
    <w:rsid w:val="00850C88"/>
    <w:rsid w:val="00850DEB"/>
    <w:rsid w:val="008511F2"/>
    <w:rsid w:val="008664F8"/>
    <w:rsid w:val="00872C78"/>
    <w:rsid w:val="00884A61"/>
    <w:rsid w:val="00887395"/>
    <w:rsid w:val="008A60EA"/>
    <w:rsid w:val="008A6C5B"/>
    <w:rsid w:val="008C0CA6"/>
    <w:rsid w:val="008C1F1A"/>
    <w:rsid w:val="008C6FB2"/>
    <w:rsid w:val="008D6B68"/>
    <w:rsid w:val="008E2C4A"/>
    <w:rsid w:val="008E59EA"/>
    <w:rsid w:val="008E72B8"/>
    <w:rsid w:val="008F5500"/>
    <w:rsid w:val="00901DA4"/>
    <w:rsid w:val="00912B05"/>
    <w:rsid w:val="009227AD"/>
    <w:rsid w:val="00923C73"/>
    <w:rsid w:val="009344A3"/>
    <w:rsid w:val="00935ED3"/>
    <w:rsid w:val="00936501"/>
    <w:rsid w:val="00937D61"/>
    <w:rsid w:val="009415D8"/>
    <w:rsid w:val="00942C08"/>
    <w:rsid w:val="00945C10"/>
    <w:rsid w:val="0094687C"/>
    <w:rsid w:val="00946BC6"/>
    <w:rsid w:val="00950D79"/>
    <w:rsid w:val="00951A04"/>
    <w:rsid w:val="00961E00"/>
    <w:rsid w:val="0096201B"/>
    <w:rsid w:val="00966E53"/>
    <w:rsid w:val="009671F6"/>
    <w:rsid w:val="009677A2"/>
    <w:rsid w:val="00967B26"/>
    <w:rsid w:val="00972071"/>
    <w:rsid w:val="00974A0D"/>
    <w:rsid w:val="00984FE8"/>
    <w:rsid w:val="00985928"/>
    <w:rsid w:val="00986EAF"/>
    <w:rsid w:val="00993D0E"/>
    <w:rsid w:val="009952C9"/>
    <w:rsid w:val="009967BF"/>
    <w:rsid w:val="00996A32"/>
    <w:rsid w:val="009A1037"/>
    <w:rsid w:val="009A7FBE"/>
    <w:rsid w:val="009B17A7"/>
    <w:rsid w:val="009B3C74"/>
    <w:rsid w:val="009B466F"/>
    <w:rsid w:val="009B7F53"/>
    <w:rsid w:val="009C197E"/>
    <w:rsid w:val="009C2384"/>
    <w:rsid w:val="009C4F86"/>
    <w:rsid w:val="009C55CE"/>
    <w:rsid w:val="009C6675"/>
    <w:rsid w:val="009C7935"/>
    <w:rsid w:val="009D59E1"/>
    <w:rsid w:val="009D71B2"/>
    <w:rsid w:val="009E52E3"/>
    <w:rsid w:val="00A07E1A"/>
    <w:rsid w:val="00A13A67"/>
    <w:rsid w:val="00A14F84"/>
    <w:rsid w:val="00A169B4"/>
    <w:rsid w:val="00A20F37"/>
    <w:rsid w:val="00A30B48"/>
    <w:rsid w:val="00A35E40"/>
    <w:rsid w:val="00A36957"/>
    <w:rsid w:val="00A370F9"/>
    <w:rsid w:val="00A374C9"/>
    <w:rsid w:val="00A40EAD"/>
    <w:rsid w:val="00A4108F"/>
    <w:rsid w:val="00A42271"/>
    <w:rsid w:val="00A51839"/>
    <w:rsid w:val="00A533ED"/>
    <w:rsid w:val="00A54136"/>
    <w:rsid w:val="00A60C54"/>
    <w:rsid w:val="00A73D9E"/>
    <w:rsid w:val="00A82639"/>
    <w:rsid w:val="00A8462A"/>
    <w:rsid w:val="00A91A1D"/>
    <w:rsid w:val="00A922A5"/>
    <w:rsid w:val="00AA2D4D"/>
    <w:rsid w:val="00AA64C5"/>
    <w:rsid w:val="00AC530A"/>
    <w:rsid w:val="00AD7ABD"/>
    <w:rsid w:val="00AE0A2D"/>
    <w:rsid w:val="00AE2880"/>
    <w:rsid w:val="00AE5486"/>
    <w:rsid w:val="00AE7D1C"/>
    <w:rsid w:val="00AF3B75"/>
    <w:rsid w:val="00AF7CC9"/>
    <w:rsid w:val="00B06364"/>
    <w:rsid w:val="00B06542"/>
    <w:rsid w:val="00B312B2"/>
    <w:rsid w:val="00B329B6"/>
    <w:rsid w:val="00B37179"/>
    <w:rsid w:val="00B42158"/>
    <w:rsid w:val="00B43182"/>
    <w:rsid w:val="00B456BA"/>
    <w:rsid w:val="00B46781"/>
    <w:rsid w:val="00B47730"/>
    <w:rsid w:val="00B60AFC"/>
    <w:rsid w:val="00B60E94"/>
    <w:rsid w:val="00B63DE5"/>
    <w:rsid w:val="00B642AC"/>
    <w:rsid w:val="00B65753"/>
    <w:rsid w:val="00B82E98"/>
    <w:rsid w:val="00B854E6"/>
    <w:rsid w:val="00B912B8"/>
    <w:rsid w:val="00B94AFA"/>
    <w:rsid w:val="00BA0951"/>
    <w:rsid w:val="00BA34F8"/>
    <w:rsid w:val="00BA5F73"/>
    <w:rsid w:val="00BA7148"/>
    <w:rsid w:val="00BC1352"/>
    <w:rsid w:val="00BC51D2"/>
    <w:rsid w:val="00BE6E5E"/>
    <w:rsid w:val="00C10D3E"/>
    <w:rsid w:val="00C11153"/>
    <w:rsid w:val="00C12974"/>
    <w:rsid w:val="00C16549"/>
    <w:rsid w:val="00C177AF"/>
    <w:rsid w:val="00C25295"/>
    <w:rsid w:val="00C25527"/>
    <w:rsid w:val="00C27805"/>
    <w:rsid w:val="00C309CE"/>
    <w:rsid w:val="00C30C21"/>
    <w:rsid w:val="00C37FE1"/>
    <w:rsid w:val="00C43745"/>
    <w:rsid w:val="00C473D2"/>
    <w:rsid w:val="00C51034"/>
    <w:rsid w:val="00C5222A"/>
    <w:rsid w:val="00C5296A"/>
    <w:rsid w:val="00C54C9B"/>
    <w:rsid w:val="00C57A6A"/>
    <w:rsid w:val="00C60E83"/>
    <w:rsid w:val="00C631EC"/>
    <w:rsid w:val="00C7537A"/>
    <w:rsid w:val="00C8379F"/>
    <w:rsid w:val="00C8414B"/>
    <w:rsid w:val="00C8544C"/>
    <w:rsid w:val="00C85D8D"/>
    <w:rsid w:val="00C86730"/>
    <w:rsid w:val="00CA0C0E"/>
    <w:rsid w:val="00CA543D"/>
    <w:rsid w:val="00CA761B"/>
    <w:rsid w:val="00CB10AD"/>
    <w:rsid w:val="00CB111D"/>
    <w:rsid w:val="00CB13D1"/>
    <w:rsid w:val="00CB31BD"/>
    <w:rsid w:val="00CC5966"/>
    <w:rsid w:val="00CC6703"/>
    <w:rsid w:val="00CC7958"/>
    <w:rsid w:val="00CD15BF"/>
    <w:rsid w:val="00CD3320"/>
    <w:rsid w:val="00CD7D46"/>
    <w:rsid w:val="00CE2719"/>
    <w:rsid w:val="00CE4215"/>
    <w:rsid w:val="00D010CC"/>
    <w:rsid w:val="00D01465"/>
    <w:rsid w:val="00D03318"/>
    <w:rsid w:val="00D07CCA"/>
    <w:rsid w:val="00D210A7"/>
    <w:rsid w:val="00D3694C"/>
    <w:rsid w:val="00D37FF6"/>
    <w:rsid w:val="00D43898"/>
    <w:rsid w:val="00D44022"/>
    <w:rsid w:val="00D44A0E"/>
    <w:rsid w:val="00D472D4"/>
    <w:rsid w:val="00D509F2"/>
    <w:rsid w:val="00D55A42"/>
    <w:rsid w:val="00D57257"/>
    <w:rsid w:val="00D8375E"/>
    <w:rsid w:val="00D87672"/>
    <w:rsid w:val="00D92893"/>
    <w:rsid w:val="00D97517"/>
    <w:rsid w:val="00DA2FBF"/>
    <w:rsid w:val="00DA3DE7"/>
    <w:rsid w:val="00DB2DE7"/>
    <w:rsid w:val="00DB4F0B"/>
    <w:rsid w:val="00DB5778"/>
    <w:rsid w:val="00DB57E3"/>
    <w:rsid w:val="00DC0255"/>
    <w:rsid w:val="00DC7083"/>
    <w:rsid w:val="00DD05D5"/>
    <w:rsid w:val="00DD3F54"/>
    <w:rsid w:val="00DD69CD"/>
    <w:rsid w:val="00DD77D0"/>
    <w:rsid w:val="00DE1436"/>
    <w:rsid w:val="00DE155D"/>
    <w:rsid w:val="00DE4103"/>
    <w:rsid w:val="00DF2775"/>
    <w:rsid w:val="00DF50F4"/>
    <w:rsid w:val="00E0018C"/>
    <w:rsid w:val="00E0226E"/>
    <w:rsid w:val="00E06535"/>
    <w:rsid w:val="00E1513D"/>
    <w:rsid w:val="00E16AB7"/>
    <w:rsid w:val="00E243EF"/>
    <w:rsid w:val="00E252DD"/>
    <w:rsid w:val="00E27268"/>
    <w:rsid w:val="00E302D8"/>
    <w:rsid w:val="00E30415"/>
    <w:rsid w:val="00E30962"/>
    <w:rsid w:val="00E3358A"/>
    <w:rsid w:val="00E42384"/>
    <w:rsid w:val="00E42B4C"/>
    <w:rsid w:val="00E4425C"/>
    <w:rsid w:val="00E459A5"/>
    <w:rsid w:val="00E477B8"/>
    <w:rsid w:val="00E5660D"/>
    <w:rsid w:val="00E62E02"/>
    <w:rsid w:val="00E634A8"/>
    <w:rsid w:val="00E65B01"/>
    <w:rsid w:val="00E748C9"/>
    <w:rsid w:val="00E770F4"/>
    <w:rsid w:val="00E85B4D"/>
    <w:rsid w:val="00E87F02"/>
    <w:rsid w:val="00E936A9"/>
    <w:rsid w:val="00E9509C"/>
    <w:rsid w:val="00E96FC8"/>
    <w:rsid w:val="00E974E5"/>
    <w:rsid w:val="00EA3F22"/>
    <w:rsid w:val="00EB26C5"/>
    <w:rsid w:val="00EB45C6"/>
    <w:rsid w:val="00EB5EE2"/>
    <w:rsid w:val="00EC1B59"/>
    <w:rsid w:val="00EC70EF"/>
    <w:rsid w:val="00EE54DE"/>
    <w:rsid w:val="00EE6769"/>
    <w:rsid w:val="00EF54B6"/>
    <w:rsid w:val="00EF676A"/>
    <w:rsid w:val="00EF6CFF"/>
    <w:rsid w:val="00EF7034"/>
    <w:rsid w:val="00EF75A2"/>
    <w:rsid w:val="00F028A0"/>
    <w:rsid w:val="00F04C4B"/>
    <w:rsid w:val="00F07BE2"/>
    <w:rsid w:val="00F10514"/>
    <w:rsid w:val="00F1695B"/>
    <w:rsid w:val="00F22A24"/>
    <w:rsid w:val="00F31459"/>
    <w:rsid w:val="00F350BF"/>
    <w:rsid w:val="00F4429E"/>
    <w:rsid w:val="00F44C2C"/>
    <w:rsid w:val="00F44FA9"/>
    <w:rsid w:val="00F47FA6"/>
    <w:rsid w:val="00F516A6"/>
    <w:rsid w:val="00F51E46"/>
    <w:rsid w:val="00F55F92"/>
    <w:rsid w:val="00F608D0"/>
    <w:rsid w:val="00F740D0"/>
    <w:rsid w:val="00F757EF"/>
    <w:rsid w:val="00F804E7"/>
    <w:rsid w:val="00F83751"/>
    <w:rsid w:val="00F920D0"/>
    <w:rsid w:val="00F92A35"/>
    <w:rsid w:val="00F92BB1"/>
    <w:rsid w:val="00F92DC5"/>
    <w:rsid w:val="00F96B97"/>
    <w:rsid w:val="00FA2039"/>
    <w:rsid w:val="00FA6A54"/>
    <w:rsid w:val="00FB0691"/>
    <w:rsid w:val="00FB3192"/>
    <w:rsid w:val="00FE5068"/>
    <w:rsid w:val="00FE7CD8"/>
    <w:rsid w:val="00FF1FD6"/>
    <w:rsid w:val="00FF21EB"/>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colormru v:ext="edit" colors="#334c4f,#79b5b0,#b77851,#d1e1e3,#066,#7ea8ac,#4e767a,#293d3f"/>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itle" w:semiHidden="0" w:uiPriority="10" w:unhideWhenUsed="0" w:qFormat="1"/>
    <w:lsdException w:name="Default Paragraph Font" w:uiPriority="1"/>
    <w:lsdException w:name="Subtitle" w:semiHidden="0" w:uiPriority="11" w:unhideWhenUsed="0" w:qFormat="1"/>
    <w:lsdException w:name="Block Text" w:semiHidden="0" w:uiPriority="3" w:unhideWhenUsed="0"/>
    <w:lsdException w:name="Strong" w:semiHidden="0" w:uiPriority="8"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0"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14"/>
    <w:rPr>
      <w:sz w:val="20"/>
      <w:szCs w:val="20"/>
      <w:lang w:eastAsia="ja-JP"/>
    </w:rPr>
  </w:style>
  <w:style w:type="paragraph" w:styleId="Heading1">
    <w:name w:val="heading 1"/>
    <w:basedOn w:val="Normal"/>
    <w:next w:val="Normal"/>
    <w:link w:val="Heading1Char"/>
    <w:uiPriority w:val="9"/>
    <w:qFormat/>
    <w:rsid w:val="00803C14"/>
    <w:pPr>
      <w:pBdr>
        <w:bottom w:val="single" w:sz="4" w:space="1" w:color="438086" w:themeColor="accent2"/>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qFormat/>
    <w:rsid w:val="00803C14"/>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qFormat/>
    <w:rsid w:val="00803C14"/>
    <w:pPr>
      <w:spacing w:after="0"/>
      <w:outlineLvl w:val="2"/>
    </w:pPr>
    <w:rPr>
      <w:rFonts w:asciiTheme="majorHAnsi" w:hAnsiTheme="majorHAnsi"/>
      <w:color w:val="438086" w:themeColor="accent2"/>
      <w:sz w:val="24"/>
      <w:szCs w:val="24"/>
    </w:rPr>
  </w:style>
  <w:style w:type="paragraph" w:styleId="Heading4">
    <w:name w:val="heading 4"/>
    <w:basedOn w:val="Normal"/>
    <w:next w:val="Normal"/>
    <w:link w:val="Heading4Char"/>
    <w:uiPriority w:val="9"/>
    <w:semiHidden/>
    <w:unhideWhenUsed/>
    <w:qFormat/>
    <w:rsid w:val="00803C14"/>
    <w:pPr>
      <w:spacing w:after="0"/>
      <w:outlineLvl w:val="3"/>
    </w:pPr>
    <w:rPr>
      <w:rFonts w:asciiTheme="majorHAnsi" w:hAnsiTheme="majorHAnsi"/>
      <w:i/>
      <w:color w:val="438086" w:themeColor="accent2"/>
      <w:sz w:val="22"/>
      <w:szCs w:val="22"/>
    </w:rPr>
  </w:style>
  <w:style w:type="paragraph" w:styleId="Heading5">
    <w:name w:val="heading 5"/>
    <w:basedOn w:val="Normal"/>
    <w:next w:val="Normal"/>
    <w:link w:val="Heading5Char"/>
    <w:uiPriority w:val="9"/>
    <w:semiHidden/>
    <w:unhideWhenUsed/>
    <w:qFormat/>
    <w:rsid w:val="00803C14"/>
    <w:pPr>
      <w:spacing w:after="0"/>
      <w:outlineLvl w:val="4"/>
    </w:pPr>
    <w:rPr>
      <w:rFonts w:asciiTheme="majorHAnsi" w:hAnsiTheme="majorHAnsi"/>
      <w:b/>
      <w:color w:val="325F64" w:themeColor="accent2" w:themeShade="BF"/>
    </w:rPr>
  </w:style>
  <w:style w:type="paragraph" w:styleId="Heading6">
    <w:name w:val="heading 6"/>
    <w:basedOn w:val="Normal"/>
    <w:next w:val="Normal"/>
    <w:link w:val="Heading6Char"/>
    <w:uiPriority w:val="9"/>
    <w:semiHidden/>
    <w:unhideWhenUsed/>
    <w:qFormat/>
    <w:rsid w:val="00803C14"/>
    <w:pPr>
      <w:spacing w:after="0"/>
      <w:outlineLvl w:val="5"/>
    </w:pPr>
    <w:rPr>
      <w:rFonts w:asciiTheme="majorHAnsi" w:hAnsiTheme="majorHAnsi"/>
      <w:b/>
      <w:i/>
      <w:color w:val="325F64" w:themeColor="accent2" w:themeShade="BF"/>
    </w:rPr>
  </w:style>
  <w:style w:type="paragraph" w:styleId="Heading7">
    <w:name w:val="heading 7"/>
    <w:basedOn w:val="Normal"/>
    <w:next w:val="Normal"/>
    <w:link w:val="Heading7Char"/>
    <w:uiPriority w:val="9"/>
    <w:semiHidden/>
    <w:unhideWhenUsed/>
    <w:qFormat/>
    <w:rsid w:val="00803C14"/>
    <w:pPr>
      <w:spacing w:after="0"/>
      <w:outlineLvl w:val="6"/>
    </w:pPr>
    <w:rPr>
      <w:rFonts w:asciiTheme="majorHAnsi" w:hAnsiTheme="majorHAnsi"/>
      <w:b/>
      <w:color w:val="53548A" w:themeColor="accent1"/>
    </w:rPr>
  </w:style>
  <w:style w:type="paragraph" w:styleId="Heading8">
    <w:name w:val="heading 8"/>
    <w:basedOn w:val="Normal"/>
    <w:next w:val="Normal"/>
    <w:link w:val="Heading8Char"/>
    <w:uiPriority w:val="9"/>
    <w:semiHidden/>
    <w:unhideWhenUsed/>
    <w:qFormat/>
    <w:rsid w:val="00803C14"/>
    <w:pPr>
      <w:spacing w:after="0"/>
      <w:outlineLvl w:val="7"/>
    </w:pPr>
    <w:rPr>
      <w:rFonts w:asciiTheme="majorHAnsi" w:hAnsiTheme="majorHAnsi"/>
      <w:b/>
      <w:i/>
      <w:color w:val="53548A" w:themeColor="accent1"/>
    </w:rPr>
  </w:style>
  <w:style w:type="paragraph" w:styleId="Heading9">
    <w:name w:val="heading 9"/>
    <w:basedOn w:val="Normal"/>
    <w:next w:val="Normal"/>
    <w:link w:val="Heading9Char"/>
    <w:uiPriority w:val="9"/>
    <w:semiHidden/>
    <w:unhideWhenUsed/>
    <w:qFormat/>
    <w:rsid w:val="00803C14"/>
    <w:pPr>
      <w:spacing w:after="0"/>
      <w:outlineLvl w:val="8"/>
    </w:pPr>
    <w:rPr>
      <w:rFonts w:asciiTheme="majorHAnsi" w:hAnsiTheme="majorHAnsi"/>
      <w:b/>
      <w:color w:val="313240"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803C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qFormat/>
    <w:rsid w:val="00803C14"/>
    <w:pPr>
      <w:spacing w:before="400"/>
    </w:pPr>
    <w:rPr>
      <w:rFonts w:asciiTheme="majorHAnsi" w:hAnsiTheme="majorHAnsi"/>
      <w:color w:val="3E3E67" w:themeColor="accent1" w:themeShade="BF"/>
      <w:sz w:val="56"/>
      <w:szCs w:val="56"/>
    </w:rPr>
  </w:style>
  <w:style w:type="character" w:customStyle="1" w:styleId="TitleChar">
    <w:name w:val="Title Char"/>
    <w:basedOn w:val="DefaultParagraphFont"/>
    <w:link w:val="Title"/>
    <w:uiPriority w:val="10"/>
    <w:rsid w:val="00803C14"/>
    <w:rPr>
      <w:rFonts w:asciiTheme="majorHAnsi" w:hAnsiTheme="majorHAnsi"/>
      <w:color w:val="3E3E67" w:themeColor="accent1" w:themeShade="BF"/>
      <w:sz w:val="56"/>
      <w:szCs w:val="56"/>
      <w:lang w:eastAsia="ja-JP"/>
    </w:rPr>
  </w:style>
  <w:style w:type="paragraph" w:styleId="Subtitle">
    <w:name w:val="Subtitle"/>
    <w:basedOn w:val="Normal"/>
    <w:link w:val="SubtitleChar"/>
    <w:uiPriority w:val="11"/>
    <w:qFormat/>
    <w:rsid w:val="00803C14"/>
    <w:pPr>
      <w:spacing w:after="480"/>
    </w:pPr>
    <w:rPr>
      <w:i/>
      <w:color w:val="424456" w:themeColor="text2"/>
      <w:sz w:val="24"/>
      <w:szCs w:val="24"/>
    </w:rPr>
  </w:style>
  <w:style w:type="character" w:customStyle="1" w:styleId="SubtitleChar">
    <w:name w:val="Subtitle Char"/>
    <w:basedOn w:val="DefaultParagraphFont"/>
    <w:link w:val="Subtitle"/>
    <w:uiPriority w:val="11"/>
    <w:rsid w:val="00803C14"/>
    <w:rPr>
      <w:i/>
      <w:color w:val="424456" w:themeColor="text2"/>
      <w:sz w:val="24"/>
      <w:szCs w:val="24"/>
      <w:lang w:eastAsia="ja-JP"/>
    </w:rPr>
  </w:style>
  <w:style w:type="character" w:styleId="IntenseEmphasis">
    <w:name w:val="Intense Emphasis"/>
    <w:basedOn w:val="DefaultParagraphFont"/>
    <w:uiPriority w:val="21"/>
    <w:qFormat/>
    <w:rsid w:val="00803C14"/>
    <w:rPr>
      <w:rFonts w:asciiTheme="minorHAnsi" w:hAnsiTheme="minorHAnsi" w:cstheme="minorHAnsi"/>
      <w:b/>
      <w:i/>
      <w:caps/>
      <w:color w:val="438086"/>
      <w:spacing w:val="5"/>
    </w:rPr>
  </w:style>
  <w:style w:type="character" w:customStyle="1" w:styleId="Heading1Char">
    <w:name w:val="Heading 1 Char"/>
    <w:basedOn w:val="DefaultParagraphFont"/>
    <w:link w:val="Heading1"/>
    <w:uiPriority w:val="9"/>
    <w:rsid w:val="00803C14"/>
    <w:rPr>
      <w:rFonts w:asciiTheme="majorHAnsi" w:hAnsiTheme="majorHAnsi"/>
      <w:color w:val="438086" w:themeColor="accent2"/>
      <w:sz w:val="32"/>
      <w:szCs w:val="32"/>
      <w:lang w:eastAsia="ja-JP"/>
    </w:rPr>
  </w:style>
  <w:style w:type="character" w:customStyle="1" w:styleId="Heading2Char">
    <w:name w:val="Heading 2 Char"/>
    <w:basedOn w:val="DefaultParagraphFont"/>
    <w:link w:val="Heading2"/>
    <w:uiPriority w:val="9"/>
    <w:rsid w:val="00803C14"/>
    <w:rPr>
      <w:rFonts w:asciiTheme="majorHAnsi" w:hAnsiTheme="majorHAnsi"/>
      <w:color w:val="438086" w:themeColor="accent2"/>
      <w:sz w:val="28"/>
      <w:szCs w:val="28"/>
      <w:lang w:eastAsia="ja-JP"/>
    </w:rPr>
  </w:style>
  <w:style w:type="character" w:customStyle="1" w:styleId="Heading3Char">
    <w:name w:val="Heading 3 Char"/>
    <w:basedOn w:val="DefaultParagraphFont"/>
    <w:link w:val="Heading3"/>
    <w:uiPriority w:val="9"/>
    <w:rsid w:val="00803C14"/>
    <w:rPr>
      <w:rFonts w:asciiTheme="majorHAnsi" w:hAnsiTheme="majorHAnsi"/>
      <w:color w:val="438086" w:themeColor="accent2"/>
      <w:sz w:val="24"/>
      <w:szCs w:val="24"/>
      <w:lang w:eastAsia="ja-JP"/>
    </w:rPr>
  </w:style>
  <w:style w:type="character" w:customStyle="1" w:styleId="Heading4Char">
    <w:name w:val="Heading 4 Char"/>
    <w:basedOn w:val="DefaultParagraphFont"/>
    <w:link w:val="Heading4"/>
    <w:uiPriority w:val="9"/>
    <w:semiHidden/>
    <w:rsid w:val="00803C14"/>
    <w:rPr>
      <w:rFonts w:asciiTheme="majorHAnsi" w:hAnsiTheme="majorHAnsi"/>
      <w:i/>
      <w:color w:val="438086" w:themeColor="accent2"/>
      <w:lang w:eastAsia="ja-JP"/>
    </w:rPr>
  </w:style>
  <w:style w:type="character" w:customStyle="1" w:styleId="Heading5Char">
    <w:name w:val="Heading 5 Char"/>
    <w:basedOn w:val="DefaultParagraphFont"/>
    <w:link w:val="Heading5"/>
    <w:uiPriority w:val="9"/>
    <w:semiHidden/>
    <w:rsid w:val="00803C14"/>
    <w:rPr>
      <w:rFonts w:asciiTheme="majorHAnsi" w:hAnsiTheme="maj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sid w:val="00803C14"/>
    <w:rPr>
      <w:rFonts w:asciiTheme="majorHAnsi" w:hAnsiTheme="maj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sid w:val="00803C14"/>
    <w:rPr>
      <w:rFonts w:asciiTheme="majorHAnsi" w:hAnsiTheme="majorHAnsi"/>
      <w:b/>
      <w:color w:val="53548A" w:themeColor="accent1"/>
      <w:sz w:val="20"/>
      <w:szCs w:val="20"/>
      <w:lang w:eastAsia="ja-JP"/>
    </w:rPr>
  </w:style>
  <w:style w:type="character" w:customStyle="1" w:styleId="Heading8Char">
    <w:name w:val="Heading 8 Char"/>
    <w:basedOn w:val="DefaultParagraphFont"/>
    <w:link w:val="Heading8"/>
    <w:uiPriority w:val="9"/>
    <w:semiHidden/>
    <w:rsid w:val="00803C14"/>
    <w:rPr>
      <w:rFonts w:asciiTheme="majorHAnsi" w:hAnsiTheme="majorHAnsi"/>
      <w:b/>
      <w:i/>
      <w:color w:val="53548A" w:themeColor="accent1"/>
      <w:sz w:val="20"/>
      <w:szCs w:val="20"/>
      <w:lang w:eastAsia="ja-JP"/>
    </w:rPr>
  </w:style>
  <w:style w:type="character" w:customStyle="1" w:styleId="Heading9Char">
    <w:name w:val="Heading 9 Char"/>
    <w:basedOn w:val="DefaultParagraphFont"/>
    <w:link w:val="Heading9"/>
    <w:uiPriority w:val="9"/>
    <w:semiHidden/>
    <w:rsid w:val="00803C14"/>
    <w:rPr>
      <w:rFonts w:asciiTheme="majorHAnsi" w:hAnsiTheme="majorHAnsi"/>
      <w:b/>
      <w:color w:val="313240" w:themeColor="text2" w:themeShade="BF"/>
      <w:sz w:val="20"/>
      <w:szCs w:val="20"/>
      <w:lang w:eastAsia="ja-JP"/>
    </w:rPr>
  </w:style>
  <w:style w:type="character" w:styleId="Strong">
    <w:name w:val="Strong"/>
    <w:basedOn w:val="DefaultParagraphFont"/>
    <w:uiPriority w:val="22"/>
    <w:qFormat/>
    <w:rsid w:val="00803C14"/>
    <w:rPr>
      <w:b/>
      <w:bCs/>
    </w:rPr>
  </w:style>
  <w:style w:type="paragraph" w:styleId="BlockText">
    <w:name w:val="Block Text"/>
    <w:basedOn w:val="Normal"/>
    <w:uiPriority w:val="3"/>
    <w:semiHidden/>
    <w:unhideWhenUsed/>
    <w:rsid w:val="00803C14"/>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rPr>
  </w:style>
  <w:style w:type="character" w:styleId="SubtleEmphasis">
    <w:name w:val="Subtle Emphasis"/>
    <w:basedOn w:val="DefaultParagraphFont"/>
    <w:uiPriority w:val="19"/>
    <w:qFormat/>
    <w:rsid w:val="00803C14"/>
    <w:rPr>
      <w:rFonts w:asciiTheme="minorHAnsi" w:hAnsiTheme="minorHAnsi"/>
      <w:i/>
      <w:color w:val="006666"/>
    </w:rPr>
  </w:style>
  <w:style w:type="character" w:styleId="IntenseReference">
    <w:name w:val="Intense Reference"/>
    <w:basedOn w:val="DefaultParagraphFont"/>
    <w:uiPriority w:val="32"/>
    <w:qFormat/>
    <w:rsid w:val="00803C14"/>
    <w:rPr>
      <w:rFonts w:asciiTheme="minorHAnsi" w:hAnsiTheme="minorHAnsi" w:cs="Times New Roman"/>
      <w:b/>
      <w:i/>
      <w:caps/>
      <w:color w:val="4E4F89"/>
      <w:spacing w:val="5"/>
    </w:rPr>
  </w:style>
  <w:style w:type="character" w:styleId="SubtleReference">
    <w:name w:val="Subtle Reference"/>
    <w:basedOn w:val="DefaultParagraphFont"/>
    <w:uiPriority w:val="31"/>
    <w:qFormat/>
    <w:rsid w:val="00803C14"/>
    <w:rPr>
      <w:rFonts w:cs="Times New Roman"/>
      <w:i/>
      <w:color w:val="4E4F89"/>
    </w:rPr>
  </w:style>
  <w:style w:type="character" w:styleId="Emphasis">
    <w:name w:val="Emphasis"/>
    <w:uiPriority w:val="20"/>
    <w:qFormat/>
    <w:rsid w:val="00803C14"/>
    <w:rPr>
      <w:rFonts w:asciiTheme="minorHAnsi" w:hAnsiTheme="minorHAnsi"/>
      <w:b/>
      <w:color w:val="438086" w:themeColor="accent2"/>
      <w:spacing w:val="10"/>
    </w:rPr>
  </w:style>
  <w:style w:type="character" w:styleId="BookTitle">
    <w:name w:val="Book Title"/>
    <w:basedOn w:val="DefaultParagraphFont"/>
    <w:uiPriority w:val="33"/>
    <w:qFormat/>
    <w:rsid w:val="00803C14"/>
    <w:rPr>
      <w:rFonts w:ascii="Cambria" w:hAnsi="Cambria" w:cs="Times New Roman"/>
      <w:i/>
      <w:color w:val="000000"/>
      <w:sz w:val="20"/>
      <w:szCs w:val="20"/>
    </w:rPr>
  </w:style>
  <w:style w:type="paragraph" w:styleId="Header">
    <w:name w:val="header"/>
    <w:basedOn w:val="Normal"/>
    <w:link w:val="HeaderChar"/>
    <w:uiPriority w:val="99"/>
    <w:unhideWhenUsed/>
    <w:rsid w:val="00803C14"/>
    <w:pPr>
      <w:tabs>
        <w:tab w:val="center" w:pos="4320"/>
        <w:tab w:val="right" w:pos="8640"/>
      </w:tabs>
    </w:pPr>
  </w:style>
  <w:style w:type="character" w:customStyle="1" w:styleId="HeaderChar">
    <w:name w:val="Header Char"/>
    <w:basedOn w:val="DefaultParagraphFont"/>
    <w:link w:val="Header"/>
    <w:uiPriority w:val="99"/>
    <w:rsid w:val="00803C14"/>
    <w:rPr>
      <w:sz w:val="20"/>
      <w:szCs w:val="20"/>
      <w:lang w:eastAsia="ja-JP"/>
    </w:rPr>
  </w:style>
  <w:style w:type="paragraph" w:styleId="Footer">
    <w:name w:val="footer"/>
    <w:basedOn w:val="Normal"/>
    <w:link w:val="FooterChar"/>
    <w:uiPriority w:val="99"/>
    <w:unhideWhenUsed/>
    <w:rsid w:val="00803C14"/>
    <w:pPr>
      <w:tabs>
        <w:tab w:val="center" w:pos="4320"/>
        <w:tab w:val="right" w:pos="8640"/>
      </w:tabs>
    </w:pPr>
  </w:style>
  <w:style w:type="character" w:customStyle="1" w:styleId="FooterChar">
    <w:name w:val="Footer Char"/>
    <w:basedOn w:val="DefaultParagraphFont"/>
    <w:link w:val="Footer"/>
    <w:uiPriority w:val="99"/>
    <w:rsid w:val="00803C14"/>
    <w:rPr>
      <w:sz w:val="20"/>
      <w:szCs w:val="20"/>
      <w:lang w:eastAsia="ja-JP"/>
    </w:rPr>
  </w:style>
  <w:style w:type="paragraph" w:styleId="NormalIndent">
    <w:name w:val="Normal Indent"/>
    <w:basedOn w:val="Normal"/>
    <w:uiPriority w:val="99"/>
    <w:unhideWhenUsed/>
    <w:rsid w:val="00803C14"/>
    <w:pPr>
      <w:ind w:left="720"/>
      <w:contextualSpacing/>
    </w:pPr>
  </w:style>
  <w:style w:type="paragraph" w:styleId="IntenseQuote">
    <w:name w:val="Intense Quote"/>
    <w:basedOn w:val="Normal"/>
    <w:uiPriority w:val="30"/>
    <w:qFormat/>
    <w:rsid w:val="00803C14"/>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 w:val="22"/>
      <w:szCs w:val="22"/>
    </w:rPr>
  </w:style>
  <w:style w:type="numbering" w:customStyle="1" w:styleId="UrbanBulletedList">
    <w:name w:val="Urban Bulleted List"/>
    <w:uiPriority w:val="99"/>
    <w:rsid w:val="00803C14"/>
    <w:pPr>
      <w:numPr>
        <w:numId w:val="17"/>
      </w:numPr>
    </w:pPr>
  </w:style>
  <w:style w:type="numbering" w:customStyle="1" w:styleId="UrbanNumberedList">
    <w:name w:val="Urban Numbered List"/>
    <w:uiPriority w:val="99"/>
    <w:rsid w:val="00803C14"/>
    <w:pPr>
      <w:numPr>
        <w:numId w:val="22"/>
      </w:numPr>
    </w:pPr>
  </w:style>
  <w:style w:type="paragraph" w:styleId="ListParagraph">
    <w:name w:val="List Paragraph"/>
    <w:basedOn w:val="Normal"/>
    <w:uiPriority w:val="36"/>
    <w:unhideWhenUsed/>
    <w:qFormat/>
    <w:rsid w:val="00803C14"/>
    <w:pPr>
      <w:ind w:left="720"/>
      <w:contextualSpacing/>
    </w:pPr>
  </w:style>
  <w:style w:type="paragraph" w:styleId="NoSpacing">
    <w:name w:val="No Spacing"/>
    <w:basedOn w:val="Normal"/>
    <w:uiPriority w:val="1"/>
    <w:qFormat/>
    <w:rsid w:val="00803C14"/>
    <w:pPr>
      <w:spacing w:after="0" w:line="240" w:lineRule="auto"/>
    </w:pPr>
    <w:rPr>
      <w:szCs w:val="32"/>
    </w:rPr>
  </w:style>
  <w:style w:type="character" w:styleId="PlaceholderText">
    <w:name w:val="Placeholder Text"/>
    <w:basedOn w:val="DefaultParagraphFont"/>
    <w:uiPriority w:val="99"/>
    <w:unhideWhenUsed/>
    <w:rsid w:val="00803C14"/>
    <w:rPr>
      <w:color w:val="808080"/>
    </w:rPr>
  </w:style>
  <w:style w:type="paragraph" w:styleId="BalloonText">
    <w:name w:val="Balloon Text"/>
    <w:basedOn w:val="Normal"/>
    <w:link w:val="BalloonTextChar"/>
    <w:uiPriority w:val="99"/>
    <w:semiHidden/>
    <w:unhideWhenUsed/>
    <w:rsid w:val="00803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C14"/>
    <w:rPr>
      <w:rFonts w:ascii="Tahoma" w:hAnsi="Tahoma" w:cs="Tahoma"/>
      <w:sz w:val="16"/>
      <w:szCs w:val="16"/>
      <w:lang w:eastAsia="ja-JP"/>
    </w:rPr>
  </w:style>
  <w:style w:type="paragraph" w:customStyle="1" w:styleId="HeaderEven">
    <w:name w:val="Header Even"/>
    <w:basedOn w:val="Header"/>
    <w:uiPriority w:val="39"/>
    <w:rsid w:val="00803C14"/>
    <w:pPr>
      <w:pBdr>
        <w:bottom w:val="single" w:sz="4" w:space="1" w:color="auto"/>
      </w:pBdr>
    </w:pPr>
  </w:style>
  <w:style w:type="paragraph" w:customStyle="1" w:styleId="HeaderOdd">
    <w:name w:val="Header Odd"/>
    <w:basedOn w:val="Header"/>
    <w:uiPriority w:val="39"/>
    <w:rsid w:val="00803C14"/>
    <w:pPr>
      <w:pBdr>
        <w:bottom w:val="single" w:sz="4" w:space="1" w:color="auto"/>
      </w:pBdr>
      <w:jc w:val="right"/>
    </w:pPr>
  </w:style>
  <w:style w:type="paragraph" w:customStyle="1" w:styleId="Bullet1">
    <w:name w:val="Bullet 1"/>
    <w:basedOn w:val="ListParagraph"/>
    <w:uiPriority w:val="38"/>
    <w:qFormat/>
    <w:rsid w:val="00803C14"/>
    <w:pPr>
      <w:numPr>
        <w:numId w:val="33"/>
      </w:numPr>
      <w:spacing w:after="0"/>
    </w:pPr>
  </w:style>
  <w:style w:type="paragraph" w:customStyle="1" w:styleId="Bullet2">
    <w:name w:val="Bullet 2"/>
    <w:basedOn w:val="ListParagraph"/>
    <w:uiPriority w:val="38"/>
    <w:qFormat/>
    <w:rsid w:val="00803C14"/>
    <w:pPr>
      <w:numPr>
        <w:ilvl w:val="1"/>
        <w:numId w:val="33"/>
      </w:numPr>
      <w:spacing w:after="0"/>
    </w:pPr>
  </w:style>
  <w:style w:type="paragraph" w:customStyle="1" w:styleId="Bullet3">
    <w:name w:val="Bullet 3"/>
    <w:basedOn w:val="ListParagraph"/>
    <w:uiPriority w:val="38"/>
    <w:qFormat/>
    <w:rsid w:val="00803C14"/>
    <w:pPr>
      <w:numPr>
        <w:ilvl w:val="2"/>
        <w:numId w:val="33"/>
      </w:numPr>
      <w:spacing w:after="0"/>
    </w:pPr>
  </w:style>
  <w:style w:type="paragraph" w:customStyle="1" w:styleId="DefaultPlaceholderSubject10">
    <w:name w:val="DefaultPlaceholder_Subject10"/>
    <w:uiPriority w:val="39"/>
    <w:rsid w:val="00803C14"/>
    <w:rPr>
      <w:i/>
      <w:color w:val="424456" w:themeColor="text2"/>
      <w:sz w:val="24"/>
      <w:szCs w:val="24"/>
    </w:rPr>
  </w:style>
  <w:style w:type="paragraph" w:customStyle="1" w:styleId="Category">
    <w:name w:val="Category"/>
    <w:basedOn w:val="Normal"/>
    <w:link w:val="CategoryChar"/>
    <w:uiPriority w:val="39"/>
    <w:qFormat/>
    <w:rsid w:val="00803C14"/>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link w:val="CommentsChar"/>
    <w:uiPriority w:val="39"/>
    <w:qFormat/>
    <w:rsid w:val="00803C14"/>
    <w:pPr>
      <w:spacing w:after="120" w:line="240" w:lineRule="auto"/>
    </w:pPr>
    <w:rPr>
      <w:b/>
      <w:szCs w:val="22"/>
    </w:rPr>
  </w:style>
  <w:style w:type="character" w:customStyle="1" w:styleId="CategoryChar">
    <w:name w:val="Category Char"/>
    <w:basedOn w:val="DefaultParagraphFont"/>
    <w:link w:val="Category"/>
    <w:uiPriority w:val="39"/>
    <w:rsid w:val="00803C14"/>
    <w:rPr>
      <w:rFonts w:cstheme="minorBidi"/>
      <w:caps/>
      <w:lang w:eastAsia="ja-JP"/>
    </w:rPr>
  </w:style>
  <w:style w:type="character" w:customStyle="1" w:styleId="CommentsChar">
    <w:name w:val="Comments Char"/>
    <w:basedOn w:val="DefaultParagraphFont"/>
    <w:link w:val="Comments"/>
    <w:uiPriority w:val="39"/>
    <w:rsid w:val="00803C14"/>
    <w:rPr>
      <w:b/>
      <w:sz w:val="20"/>
      <w:lang w:eastAsia="ja-JP"/>
    </w:rPr>
  </w:style>
  <w:style w:type="paragraph" w:customStyle="1" w:styleId="CommentsText">
    <w:name w:val="Comments Text"/>
    <w:basedOn w:val="Normal"/>
    <w:uiPriority w:val="39"/>
    <w:qFormat/>
    <w:rsid w:val="00803C14"/>
    <w:pPr>
      <w:spacing w:after="120" w:line="288" w:lineRule="auto"/>
    </w:pPr>
    <w:rPr>
      <w:szCs w:val="22"/>
    </w:rPr>
  </w:style>
  <w:style w:type="paragraph" w:styleId="TOC1">
    <w:name w:val="toc 1"/>
    <w:basedOn w:val="Normal"/>
    <w:next w:val="Normal"/>
    <w:autoRedefine/>
    <w:uiPriority w:val="39"/>
    <w:unhideWhenUsed/>
    <w:qFormat/>
    <w:rsid w:val="00803C14"/>
    <w:rPr>
      <w:rFonts w:eastAsiaTheme="minorEastAsia" w:cstheme="minorBidi"/>
      <w:sz w:val="24"/>
      <w:szCs w:val="24"/>
    </w:rPr>
  </w:style>
  <w:style w:type="paragraph" w:styleId="TOC2">
    <w:name w:val="toc 2"/>
    <w:basedOn w:val="Normal"/>
    <w:next w:val="Normal"/>
    <w:autoRedefine/>
    <w:uiPriority w:val="39"/>
    <w:unhideWhenUsed/>
    <w:qFormat/>
    <w:rsid w:val="00803C14"/>
    <w:pPr>
      <w:ind w:left="240"/>
    </w:pPr>
    <w:rPr>
      <w:rFonts w:eastAsiaTheme="minorEastAsia" w:cstheme="minorBidi"/>
      <w:sz w:val="24"/>
      <w:szCs w:val="24"/>
    </w:rPr>
  </w:style>
  <w:style w:type="character" w:styleId="Hyperlink">
    <w:name w:val="Hyperlink"/>
    <w:basedOn w:val="DefaultParagraphFont"/>
    <w:uiPriority w:val="99"/>
    <w:unhideWhenUsed/>
    <w:rsid w:val="00803C14"/>
    <w:rPr>
      <w:color w:val="67AFBD" w:themeColor="hyperlink"/>
      <w:u w:val="single"/>
    </w:rPr>
  </w:style>
  <w:style w:type="paragraph" w:styleId="TOC3">
    <w:name w:val="toc 3"/>
    <w:basedOn w:val="Normal"/>
    <w:next w:val="Normal"/>
    <w:autoRedefine/>
    <w:uiPriority w:val="39"/>
    <w:unhideWhenUsed/>
    <w:rsid w:val="00803C14"/>
    <w:pPr>
      <w:spacing w:after="100"/>
      <w:ind w:left="400"/>
    </w:pPr>
  </w:style>
  <w:style w:type="paragraph" w:customStyle="1" w:styleId="Default">
    <w:name w:val="Default"/>
    <w:rsid w:val="00C510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esponsivenews">
    <w:name w:val="responsivenews"/>
    <w:basedOn w:val="Normal"/>
    <w:rsid w:val="00E634A8"/>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6E32EC"/>
    <w:rPr>
      <w:color w:val="C2A874" w:themeColor="followedHyperlink"/>
      <w:u w:val="single"/>
    </w:rPr>
  </w:style>
  <w:style w:type="character" w:customStyle="1" w:styleId="articlecitationyear">
    <w:name w:val="articlecitation_year"/>
    <w:basedOn w:val="DefaultParagraphFont"/>
    <w:rsid w:val="000908B7"/>
  </w:style>
  <w:style w:type="paragraph" w:styleId="FootnoteText">
    <w:name w:val="footnote text"/>
    <w:basedOn w:val="Normal"/>
    <w:link w:val="FootnoteTextChar"/>
    <w:uiPriority w:val="99"/>
    <w:semiHidden/>
    <w:unhideWhenUsed/>
    <w:rsid w:val="00043E8C"/>
    <w:pPr>
      <w:spacing w:after="0" w:line="240" w:lineRule="auto"/>
    </w:pPr>
  </w:style>
  <w:style w:type="character" w:customStyle="1" w:styleId="FootnoteTextChar">
    <w:name w:val="Footnote Text Char"/>
    <w:basedOn w:val="DefaultParagraphFont"/>
    <w:link w:val="FootnoteText"/>
    <w:uiPriority w:val="99"/>
    <w:semiHidden/>
    <w:rsid w:val="00043E8C"/>
    <w:rPr>
      <w:sz w:val="20"/>
      <w:szCs w:val="20"/>
      <w:lang w:eastAsia="ja-JP"/>
    </w:rPr>
  </w:style>
  <w:style w:type="character" w:styleId="FootnoteReference">
    <w:name w:val="footnote reference"/>
    <w:basedOn w:val="DefaultParagraphFont"/>
    <w:uiPriority w:val="99"/>
    <w:semiHidden/>
    <w:unhideWhenUsed/>
    <w:rsid w:val="00043E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itle" w:semiHidden="0" w:uiPriority="10" w:unhideWhenUsed="0" w:qFormat="1"/>
    <w:lsdException w:name="Default Paragraph Font" w:uiPriority="1"/>
    <w:lsdException w:name="Subtitle" w:semiHidden="0" w:uiPriority="11" w:unhideWhenUsed="0" w:qFormat="1"/>
    <w:lsdException w:name="Block Text" w:semiHidden="0" w:uiPriority="3" w:unhideWhenUsed="0"/>
    <w:lsdException w:name="Strong" w:semiHidden="0" w:uiPriority="8"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0" w:unhideWhenUsed="0"/>
    <w:lsdException w:name="List Paragraph" w:semiHidden="0" w:uiPriority="36"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C14"/>
    <w:rPr>
      <w:sz w:val="20"/>
      <w:szCs w:val="20"/>
      <w:lang w:eastAsia="ja-JP"/>
    </w:rPr>
  </w:style>
  <w:style w:type="paragraph" w:styleId="Heading1">
    <w:name w:val="heading 1"/>
    <w:basedOn w:val="Normal"/>
    <w:next w:val="Normal"/>
    <w:link w:val="Heading1Char"/>
    <w:uiPriority w:val="9"/>
    <w:qFormat/>
    <w:rsid w:val="00803C14"/>
    <w:pPr>
      <w:pBdr>
        <w:bottom w:val="single" w:sz="4" w:space="1" w:color="438086" w:themeColor="accent2"/>
      </w:pBdr>
      <w:spacing w:before="360" w:after="80"/>
      <w:outlineLvl w:val="0"/>
    </w:pPr>
    <w:rPr>
      <w:rFonts w:asciiTheme="majorHAnsi" w:hAnsiTheme="majorHAnsi"/>
      <w:color w:val="438086" w:themeColor="accent2"/>
      <w:sz w:val="32"/>
      <w:szCs w:val="32"/>
    </w:rPr>
  </w:style>
  <w:style w:type="paragraph" w:styleId="Heading2">
    <w:name w:val="heading 2"/>
    <w:basedOn w:val="Normal"/>
    <w:next w:val="Normal"/>
    <w:link w:val="Heading2Char"/>
    <w:uiPriority w:val="9"/>
    <w:qFormat/>
    <w:rsid w:val="00803C14"/>
    <w:pPr>
      <w:spacing w:after="0"/>
      <w:outlineLvl w:val="1"/>
    </w:pPr>
    <w:rPr>
      <w:rFonts w:asciiTheme="majorHAnsi" w:hAnsiTheme="majorHAnsi"/>
      <w:color w:val="438086" w:themeColor="accent2"/>
      <w:sz w:val="28"/>
      <w:szCs w:val="28"/>
    </w:rPr>
  </w:style>
  <w:style w:type="paragraph" w:styleId="Heading3">
    <w:name w:val="heading 3"/>
    <w:basedOn w:val="Normal"/>
    <w:next w:val="Normal"/>
    <w:link w:val="Heading3Char"/>
    <w:uiPriority w:val="9"/>
    <w:qFormat/>
    <w:rsid w:val="00803C14"/>
    <w:pPr>
      <w:spacing w:after="0"/>
      <w:outlineLvl w:val="2"/>
    </w:pPr>
    <w:rPr>
      <w:rFonts w:asciiTheme="majorHAnsi" w:hAnsiTheme="majorHAnsi"/>
      <w:color w:val="438086" w:themeColor="accent2"/>
      <w:sz w:val="24"/>
      <w:szCs w:val="24"/>
    </w:rPr>
  </w:style>
  <w:style w:type="paragraph" w:styleId="Heading4">
    <w:name w:val="heading 4"/>
    <w:basedOn w:val="Normal"/>
    <w:next w:val="Normal"/>
    <w:link w:val="Heading4Char"/>
    <w:uiPriority w:val="9"/>
    <w:semiHidden/>
    <w:unhideWhenUsed/>
    <w:qFormat/>
    <w:rsid w:val="00803C14"/>
    <w:pPr>
      <w:spacing w:after="0"/>
      <w:outlineLvl w:val="3"/>
    </w:pPr>
    <w:rPr>
      <w:rFonts w:asciiTheme="majorHAnsi" w:hAnsiTheme="majorHAnsi"/>
      <w:i/>
      <w:color w:val="438086" w:themeColor="accent2"/>
      <w:sz w:val="22"/>
      <w:szCs w:val="22"/>
    </w:rPr>
  </w:style>
  <w:style w:type="paragraph" w:styleId="Heading5">
    <w:name w:val="heading 5"/>
    <w:basedOn w:val="Normal"/>
    <w:next w:val="Normal"/>
    <w:link w:val="Heading5Char"/>
    <w:uiPriority w:val="9"/>
    <w:semiHidden/>
    <w:unhideWhenUsed/>
    <w:qFormat/>
    <w:rsid w:val="00803C14"/>
    <w:pPr>
      <w:spacing w:after="0"/>
      <w:outlineLvl w:val="4"/>
    </w:pPr>
    <w:rPr>
      <w:rFonts w:asciiTheme="majorHAnsi" w:hAnsiTheme="majorHAnsi"/>
      <w:b/>
      <w:color w:val="325F64" w:themeColor="accent2" w:themeShade="BF"/>
    </w:rPr>
  </w:style>
  <w:style w:type="paragraph" w:styleId="Heading6">
    <w:name w:val="heading 6"/>
    <w:basedOn w:val="Normal"/>
    <w:next w:val="Normal"/>
    <w:link w:val="Heading6Char"/>
    <w:uiPriority w:val="9"/>
    <w:semiHidden/>
    <w:unhideWhenUsed/>
    <w:qFormat/>
    <w:rsid w:val="00803C14"/>
    <w:pPr>
      <w:spacing w:after="0"/>
      <w:outlineLvl w:val="5"/>
    </w:pPr>
    <w:rPr>
      <w:rFonts w:asciiTheme="majorHAnsi" w:hAnsiTheme="majorHAnsi"/>
      <w:b/>
      <w:i/>
      <w:color w:val="325F64" w:themeColor="accent2" w:themeShade="BF"/>
    </w:rPr>
  </w:style>
  <w:style w:type="paragraph" w:styleId="Heading7">
    <w:name w:val="heading 7"/>
    <w:basedOn w:val="Normal"/>
    <w:next w:val="Normal"/>
    <w:link w:val="Heading7Char"/>
    <w:uiPriority w:val="9"/>
    <w:semiHidden/>
    <w:unhideWhenUsed/>
    <w:qFormat/>
    <w:rsid w:val="00803C14"/>
    <w:pPr>
      <w:spacing w:after="0"/>
      <w:outlineLvl w:val="6"/>
    </w:pPr>
    <w:rPr>
      <w:rFonts w:asciiTheme="majorHAnsi" w:hAnsiTheme="majorHAnsi"/>
      <w:b/>
      <w:color w:val="53548A" w:themeColor="accent1"/>
    </w:rPr>
  </w:style>
  <w:style w:type="paragraph" w:styleId="Heading8">
    <w:name w:val="heading 8"/>
    <w:basedOn w:val="Normal"/>
    <w:next w:val="Normal"/>
    <w:link w:val="Heading8Char"/>
    <w:uiPriority w:val="9"/>
    <w:semiHidden/>
    <w:unhideWhenUsed/>
    <w:qFormat/>
    <w:rsid w:val="00803C14"/>
    <w:pPr>
      <w:spacing w:after="0"/>
      <w:outlineLvl w:val="7"/>
    </w:pPr>
    <w:rPr>
      <w:rFonts w:asciiTheme="majorHAnsi" w:hAnsiTheme="majorHAnsi"/>
      <w:b/>
      <w:i/>
      <w:color w:val="53548A" w:themeColor="accent1"/>
    </w:rPr>
  </w:style>
  <w:style w:type="paragraph" w:styleId="Heading9">
    <w:name w:val="heading 9"/>
    <w:basedOn w:val="Normal"/>
    <w:next w:val="Normal"/>
    <w:link w:val="Heading9Char"/>
    <w:uiPriority w:val="9"/>
    <w:semiHidden/>
    <w:unhideWhenUsed/>
    <w:qFormat/>
    <w:rsid w:val="00803C14"/>
    <w:pPr>
      <w:spacing w:after="0"/>
      <w:outlineLvl w:val="8"/>
    </w:pPr>
    <w:rPr>
      <w:rFonts w:asciiTheme="majorHAnsi" w:hAnsiTheme="majorHAnsi"/>
      <w:b/>
      <w:color w:val="313240" w:themeColor="text2"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rsid w:val="00803C1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itle">
    <w:name w:val="Title"/>
    <w:basedOn w:val="Normal"/>
    <w:link w:val="TitleChar"/>
    <w:uiPriority w:val="10"/>
    <w:qFormat/>
    <w:rsid w:val="00803C14"/>
    <w:pPr>
      <w:spacing w:before="400"/>
    </w:pPr>
    <w:rPr>
      <w:rFonts w:asciiTheme="majorHAnsi" w:hAnsiTheme="majorHAnsi"/>
      <w:color w:val="3E3E67" w:themeColor="accent1" w:themeShade="BF"/>
      <w:sz w:val="56"/>
      <w:szCs w:val="56"/>
    </w:rPr>
  </w:style>
  <w:style w:type="character" w:customStyle="1" w:styleId="TitleChar">
    <w:name w:val="Title Char"/>
    <w:basedOn w:val="DefaultParagraphFont"/>
    <w:link w:val="Title"/>
    <w:uiPriority w:val="10"/>
    <w:rsid w:val="00803C14"/>
    <w:rPr>
      <w:rFonts w:asciiTheme="majorHAnsi" w:hAnsiTheme="majorHAnsi"/>
      <w:color w:val="3E3E67" w:themeColor="accent1" w:themeShade="BF"/>
      <w:sz w:val="56"/>
      <w:szCs w:val="56"/>
      <w:lang w:eastAsia="ja-JP"/>
    </w:rPr>
  </w:style>
  <w:style w:type="paragraph" w:styleId="Subtitle">
    <w:name w:val="Subtitle"/>
    <w:basedOn w:val="Normal"/>
    <w:link w:val="SubtitleChar"/>
    <w:uiPriority w:val="11"/>
    <w:qFormat/>
    <w:rsid w:val="00803C14"/>
    <w:pPr>
      <w:spacing w:after="480"/>
    </w:pPr>
    <w:rPr>
      <w:i/>
      <w:color w:val="424456" w:themeColor="text2"/>
      <w:sz w:val="24"/>
      <w:szCs w:val="24"/>
    </w:rPr>
  </w:style>
  <w:style w:type="character" w:customStyle="1" w:styleId="SubtitleChar">
    <w:name w:val="Subtitle Char"/>
    <w:basedOn w:val="DefaultParagraphFont"/>
    <w:link w:val="Subtitle"/>
    <w:uiPriority w:val="11"/>
    <w:rsid w:val="00803C14"/>
    <w:rPr>
      <w:i/>
      <w:color w:val="424456" w:themeColor="text2"/>
      <w:sz w:val="24"/>
      <w:szCs w:val="24"/>
      <w:lang w:eastAsia="ja-JP"/>
    </w:rPr>
  </w:style>
  <w:style w:type="character" w:styleId="IntenseEmphasis">
    <w:name w:val="Intense Emphasis"/>
    <w:basedOn w:val="DefaultParagraphFont"/>
    <w:uiPriority w:val="21"/>
    <w:qFormat/>
    <w:rsid w:val="00803C14"/>
    <w:rPr>
      <w:rFonts w:asciiTheme="minorHAnsi" w:hAnsiTheme="minorHAnsi" w:cstheme="minorHAnsi"/>
      <w:b/>
      <w:i/>
      <w:caps/>
      <w:color w:val="438086"/>
      <w:spacing w:val="5"/>
    </w:rPr>
  </w:style>
  <w:style w:type="character" w:customStyle="1" w:styleId="Heading1Char">
    <w:name w:val="Heading 1 Char"/>
    <w:basedOn w:val="DefaultParagraphFont"/>
    <w:link w:val="Heading1"/>
    <w:uiPriority w:val="9"/>
    <w:rsid w:val="00803C14"/>
    <w:rPr>
      <w:rFonts w:asciiTheme="majorHAnsi" w:hAnsiTheme="majorHAnsi"/>
      <w:color w:val="438086" w:themeColor="accent2"/>
      <w:sz w:val="32"/>
      <w:szCs w:val="32"/>
      <w:lang w:eastAsia="ja-JP"/>
    </w:rPr>
  </w:style>
  <w:style w:type="character" w:customStyle="1" w:styleId="Heading2Char">
    <w:name w:val="Heading 2 Char"/>
    <w:basedOn w:val="DefaultParagraphFont"/>
    <w:link w:val="Heading2"/>
    <w:uiPriority w:val="9"/>
    <w:rsid w:val="00803C14"/>
    <w:rPr>
      <w:rFonts w:asciiTheme="majorHAnsi" w:hAnsiTheme="majorHAnsi"/>
      <w:color w:val="438086" w:themeColor="accent2"/>
      <w:sz w:val="28"/>
      <w:szCs w:val="28"/>
      <w:lang w:eastAsia="ja-JP"/>
    </w:rPr>
  </w:style>
  <w:style w:type="character" w:customStyle="1" w:styleId="Heading3Char">
    <w:name w:val="Heading 3 Char"/>
    <w:basedOn w:val="DefaultParagraphFont"/>
    <w:link w:val="Heading3"/>
    <w:uiPriority w:val="9"/>
    <w:rsid w:val="00803C14"/>
    <w:rPr>
      <w:rFonts w:asciiTheme="majorHAnsi" w:hAnsiTheme="majorHAnsi"/>
      <w:color w:val="438086" w:themeColor="accent2"/>
      <w:sz w:val="24"/>
      <w:szCs w:val="24"/>
      <w:lang w:eastAsia="ja-JP"/>
    </w:rPr>
  </w:style>
  <w:style w:type="character" w:customStyle="1" w:styleId="Heading4Char">
    <w:name w:val="Heading 4 Char"/>
    <w:basedOn w:val="DefaultParagraphFont"/>
    <w:link w:val="Heading4"/>
    <w:uiPriority w:val="9"/>
    <w:semiHidden/>
    <w:rsid w:val="00803C14"/>
    <w:rPr>
      <w:rFonts w:asciiTheme="majorHAnsi" w:hAnsiTheme="majorHAnsi"/>
      <w:i/>
      <w:color w:val="438086" w:themeColor="accent2"/>
      <w:lang w:eastAsia="ja-JP"/>
    </w:rPr>
  </w:style>
  <w:style w:type="character" w:customStyle="1" w:styleId="Heading5Char">
    <w:name w:val="Heading 5 Char"/>
    <w:basedOn w:val="DefaultParagraphFont"/>
    <w:link w:val="Heading5"/>
    <w:uiPriority w:val="9"/>
    <w:semiHidden/>
    <w:rsid w:val="00803C14"/>
    <w:rPr>
      <w:rFonts w:asciiTheme="majorHAnsi" w:hAnsiTheme="majorHAnsi"/>
      <w:b/>
      <w:color w:val="325F64" w:themeColor="accent2" w:themeShade="BF"/>
      <w:sz w:val="20"/>
      <w:szCs w:val="20"/>
      <w:lang w:eastAsia="ja-JP"/>
    </w:rPr>
  </w:style>
  <w:style w:type="character" w:customStyle="1" w:styleId="Heading6Char">
    <w:name w:val="Heading 6 Char"/>
    <w:basedOn w:val="DefaultParagraphFont"/>
    <w:link w:val="Heading6"/>
    <w:uiPriority w:val="9"/>
    <w:semiHidden/>
    <w:rsid w:val="00803C14"/>
    <w:rPr>
      <w:rFonts w:asciiTheme="majorHAnsi" w:hAnsiTheme="majorHAnsi"/>
      <w:b/>
      <w:i/>
      <w:color w:val="325F64" w:themeColor="accent2" w:themeShade="BF"/>
      <w:sz w:val="20"/>
      <w:szCs w:val="20"/>
      <w:lang w:eastAsia="ja-JP"/>
    </w:rPr>
  </w:style>
  <w:style w:type="character" w:customStyle="1" w:styleId="Heading7Char">
    <w:name w:val="Heading 7 Char"/>
    <w:basedOn w:val="DefaultParagraphFont"/>
    <w:link w:val="Heading7"/>
    <w:uiPriority w:val="9"/>
    <w:semiHidden/>
    <w:rsid w:val="00803C14"/>
    <w:rPr>
      <w:rFonts w:asciiTheme="majorHAnsi" w:hAnsiTheme="majorHAnsi"/>
      <w:b/>
      <w:color w:val="53548A" w:themeColor="accent1"/>
      <w:sz w:val="20"/>
      <w:szCs w:val="20"/>
      <w:lang w:eastAsia="ja-JP"/>
    </w:rPr>
  </w:style>
  <w:style w:type="character" w:customStyle="1" w:styleId="Heading8Char">
    <w:name w:val="Heading 8 Char"/>
    <w:basedOn w:val="DefaultParagraphFont"/>
    <w:link w:val="Heading8"/>
    <w:uiPriority w:val="9"/>
    <w:semiHidden/>
    <w:rsid w:val="00803C14"/>
    <w:rPr>
      <w:rFonts w:asciiTheme="majorHAnsi" w:hAnsiTheme="majorHAnsi"/>
      <w:b/>
      <w:i/>
      <w:color w:val="53548A" w:themeColor="accent1"/>
      <w:sz w:val="20"/>
      <w:szCs w:val="20"/>
      <w:lang w:eastAsia="ja-JP"/>
    </w:rPr>
  </w:style>
  <w:style w:type="character" w:customStyle="1" w:styleId="Heading9Char">
    <w:name w:val="Heading 9 Char"/>
    <w:basedOn w:val="DefaultParagraphFont"/>
    <w:link w:val="Heading9"/>
    <w:uiPriority w:val="9"/>
    <w:semiHidden/>
    <w:rsid w:val="00803C14"/>
    <w:rPr>
      <w:rFonts w:asciiTheme="majorHAnsi" w:hAnsiTheme="majorHAnsi"/>
      <w:b/>
      <w:color w:val="313240" w:themeColor="text2" w:themeShade="BF"/>
      <w:sz w:val="20"/>
      <w:szCs w:val="20"/>
      <w:lang w:eastAsia="ja-JP"/>
    </w:rPr>
  </w:style>
  <w:style w:type="character" w:styleId="Strong">
    <w:name w:val="Strong"/>
    <w:basedOn w:val="DefaultParagraphFont"/>
    <w:uiPriority w:val="22"/>
    <w:qFormat/>
    <w:rsid w:val="00803C14"/>
    <w:rPr>
      <w:b/>
      <w:bCs/>
    </w:rPr>
  </w:style>
  <w:style w:type="paragraph" w:styleId="BlockText">
    <w:name w:val="Block Text"/>
    <w:basedOn w:val="Normal"/>
    <w:uiPriority w:val="3"/>
    <w:semiHidden/>
    <w:unhideWhenUsed/>
    <w:rsid w:val="00803C14"/>
    <w:pPr>
      <w:pBdr>
        <w:top w:val="single" w:sz="2" w:space="10" w:color="53548A" w:themeColor="accent1"/>
        <w:left w:val="single" w:sz="2" w:space="10" w:color="53548A" w:themeColor="accent1"/>
        <w:bottom w:val="single" w:sz="2" w:space="10" w:color="53548A" w:themeColor="accent1"/>
        <w:right w:val="single" w:sz="2" w:space="10" w:color="53548A" w:themeColor="accent1"/>
        <w:between w:val="single" w:sz="2" w:space="10" w:color="53548A" w:themeColor="accent1"/>
        <w:bar w:val="single" w:sz="2" w:color="53548A" w:themeColor="accent1"/>
      </w:pBdr>
      <w:ind w:left="1152" w:right="1152"/>
    </w:pPr>
    <w:rPr>
      <w:rFonts w:eastAsiaTheme="minorEastAsia" w:cstheme="minorBidi"/>
      <w:i/>
      <w:iCs/>
      <w:color w:val="53548A" w:themeColor="accent1"/>
    </w:rPr>
  </w:style>
  <w:style w:type="character" w:styleId="SubtleEmphasis">
    <w:name w:val="Subtle Emphasis"/>
    <w:basedOn w:val="DefaultParagraphFont"/>
    <w:uiPriority w:val="19"/>
    <w:qFormat/>
    <w:rsid w:val="00803C14"/>
    <w:rPr>
      <w:rFonts w:asciiTheme="minorHAnsi" w:hAnsiTheme="minorHAnsi"/>
      <w:i/>
      <w:color w:val="006666"/>
    </w:rPr>
  </w:style>
  <w:style w:type="character" w:styleId="IntenseReference">
    <w:name w:val="Intense Reference"/>
    <w:basedOn w:val="DefaultParagraphFont"/>
    <w:uiPriority w:val="32"/>
    <w:qFormat/>
    <w:rsid w:val="00803C14"/>
    <w:rPr>
      <w:rFonts w:asciiTheme="minorHAnsi" w:hAnsiTheme="minorHAnsi" w:cs="Times New Roman"/>
      <w:b/>
      <w:i/>
      <w:caps/>
      <w:color w:val="4E4F89"/>
      <w:spacing w:val="5"/>
    </w:rPr>
  </w:style>
  <w:style w:type="character" w:styleId="SubtleReference">
    <w:name w:val="Subtle Reference"/>
    <w:basedOn w:val="DefaultParagraphFont"/>
    <w:uiPriority w:val="31"/>
    <w:qFormat/>
    <w:rsid w:val="00803C14"/>
    <w:rPr>
      <w:rFonts w:cs="Times New Roman"/>
      <w:i/>
      <w:color w:val="4E4F89"/>
    </w:rPr>
  </w:style>
  <w:style w:type="character" w:styleId="Emphasis">
    <w:name w:val="Emphasis"/>
    <w:uiPriority w:val="20"/>
    <w:qFormat/>
    <w:rsid w:val="00803C14"/>
    <w:rPr>
      <w:rFonts w:asciiTheme="minorHAnsi" w:hAnsiTheme="minorHAnsi"/>
      <w:b/>
      <w:color w:val="438086" w:themeColor="accent2"/>
      <w:spacing w:val="10"/>
    </w:rPr>
  </w:style>
  <w:style w:type="character" w:styleId="BookTitle">
    <w:name w:val="Book Title"/>
    <w:basedOn w:val="DefaultParagraphFont"/>
    <w:uiPriority w:val="33"/>
    <w:qFormat/>
    <w:rsid w:val="00803C14"/>
    <w:rPr>
      <w:rFonts w:ascii="Cambria" w:hAnsi="Cambria" w:cs="Times New Roman"/>
      <w:i/>
      <w:color w:val="000000"/>
      <w:sz w:val="20"/>
      <w:szCs w:val="20"/>
    </w:rPr>
  </w:style>
  <w:style w:type="paragraph" w:styleId="Header">
    <w:name w:val="header"/>
    <w:basedOn w:val="Normal"/>
    <w:link w:val="HeaderChar"/>
    <w:uiPriority w:val="99"/>
    <w:unhideWhenUsed/>
    <w:rsid w:val="00803C14"/>
    <w:pPr>
      <w:tabs>
        <w:tab w:val="center" w:pos="4320"/>
        <w:tab w:val="right" w:pos="8640"/>
      </w:tabs>
    </w:pPr>
  </w:style>
  <w:style w:type="character" w:customStyle="1" w:styleId="HeaderChar">
    <w:name w:val="Header Char"/>
    <w:basedOn w:val="DefaultParagraphFont"/>
    <w:link w:val="Header"/>
    <w:uiPriority w:val="99"/>
    <w:rsid w:val="00803C14"/>
    <w:rPr>
      <w:sz w:val="20"/>
      <w:szCs w:val="20"/>
      <w:lang w:eastAsia="ja-JP"/>
    </w:rPr>
  </w:style>
  <w:style w:type="paragraph" w:styleId="Footer">
    <w:name w:val="footer"/>
    <w:basedOn w:val="Normal"/>
    <w:link w:val="FooterChar"/>
    <w:uiPriority w:val="99"/>
    <w:unhideWhenUsed/>
    <w:rsid w:val="00803C14"/>
    <w:pPr>
      <w:tabs>
        <w:tab w:val="center" w:pos="4320"/>
        <w:tab w:val="right" w:pos="8640"/>
      </w:tabs>
    </w:pPr>
  </w:style>
  <w:style w:type="character" w:customStyle="1" w:styleId="FooterChar">
    <w:name w:val="Footer Char"/>
    <w:basedOn w:val="DefaultParagraphFont"/>
    <w:link w:val="Footer"/>
    <w:uiPriority w:val="99"/>
    <w:rsid w:val="00803C14"/>
    <w:rPr>
      <w:sz w:val="20"/>
      <w:szCs w:val="20"/>
      <w:lang w:eastAsia="ja-JP"/>
    </w:rPr>
  </w:style>
  <w:style w:type="paragraph" w:styleId="NormalIndent">
    <w:name w:val="Normal Indent"/>
    <w:basedOn w:val="Normal"/>
    <w:uiPriority w:val="99"/>
    <w:unhideWhenUsed/>
    <w:rsid w:val="00803C14"/>
    <w:pPr>
      <w:ind w:left="720"/>
      <w:contextualSpacing/>
    </w:pPr>
  </w:style>
  <w:style w:type="paragraph" w:styleId="IntenseQuote">
    <w:name w:val="Intense Quote"/>
    <w:basedOn w:val="Normal"/>
    <w:uiPriority w:val="30"/>
    <w:qFormat/>
    <w:rsid w:val="00803C14"/>
    <w:pPr>
      <w:pBdr>
        <w:top w:val="threeDEngrave" w:sz="6" w:space="10" w:color="438086" w:themeColor="accent2"/>
        <w:bottom w:val="single" w:sz="4" w:space="10" w:color="438086" w:themeColor="accent2"/>
      </w:pBdr>
      <w:spacing w:before="360" w:after="360" w:line="324" w:lineRule="auto"/>
      <w:ind w:left="1080" w:right="1080"/>
    </w:pPr>
    <w:rPr>
      <w:i/>
      <w:color w:val="438086" w:themeColor="accent2"/>
      <w:sz w:val="22"/>
      <w:szCs w:val="22"/>
    </w:rPr>
  </w:style>
  <w:style w:type="numbering" w:customStyle="1" w:styleId="UrbanBulletedList">
    <w:name w:val="Urban Bulleted List"/>
    <w:uiPriority w:val="99"/>
    <w:rsid w:val="00803C14"/>
    <w:pPr>
      <w:numPr>
        <w:numId w:val="17"/>
      </w:numPr>
    </w:pPr>
  </w:style>
  <w:style w:type="numbering" w:customStyle="1" w:styleId="UrbanNumberedList">
    <w:name w:val="Urban Numbered List"/>
    <w:uiPriority w:val="99"/>
    <w:rsid w:val="00803C14"/>
    <w:pPr>
      <w:numPr>
        <w:numId w:val="22"/>
      </w:numPr>
    </w:pPr>
  </w:style>
  <w:style w:type="paragraph" w:styleId="ListParagraph">
    <w:name w:val="List Paragraph"/>
    <w:basedOn w:val="Normal"/>
    <w:uiPriority w:val="36"/>
    <w:unhideWhenUsed/>
    <w:qFormat/>
    <w:rsid w:val="00803C14"/>
    <w:pPr>
      <w:ind w:left="720"/>
      <w:contextualSpacing/>
    </w:pPr>
  </w:style>
  <w:style w:type="paragraph" w:styleId="NoSpacing">
    <w:name w:val="No Spacing"/>
    <w:basedOn w:val="Normal"/>
    <w:uiPriority w:val="1"/>
    <w:qFormat/>
    <w:rsid w:val="00803C14"/>
    <w:pPr>
      <w:spacing w:after="0" w:line="240" w:lineRule="auto"/>
    </w:pPr>
    <w:rPr>
      <w:szCs w:val="32"/>
    </w:rPr>
  </w:style>
  <w:style w:type="character" w:styleId="PlaceholderText">
    <w:name w:val="Placeholder Text"/>
    <w:basedOn w:val="DefaultParagraphFont"/>
    <w:uiPriority w:val="99"/>
    <w:unhideWhenUsed/>
    <w:rsid w:val="00803C14"/>
    <w:rPr>
      <w:color w:val="808080"/>
    </w:rPr>
  </w:style>
  <w:style w:type="paragraph" w:styleId="BalloonText">
    <w:name w:val="Balloon Text"/>
    <w:basedOn w:val="Normal"/>
    <w:link w:val="BalloonTextChar"/>
    <w:uiPriority w:val="99"/>
    <w:semiHidden/>
    <w:unhideWhenUsed/>
    <w:rsid w:val="00803C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C14"/>
    <w:rPr>
      <w:rFonts w:ascii="Tahoma" w:hAnsi="Tahoma" w:cs="Tahoma"/>
      <w:sz w:val="16"/>
      <w:szCs w:val="16"/>
      <w:lang w:eastAsia="ja-JP"/>
    </w:rPr>
  </w:style>
  <w:style w:type="paragraph" w:customStyle="1" w:styleId="HeaderEven">
    <w:name w:val="Header Even"/>
    <w:basedOn w:val="Header"/>
    <w:uiPriority w:val="39"/>
    <w:rsid w:val="00803C14"/>
    <w:pPr>
      <w:pBdr>
        <w:bottom w:val="single" w:sz="4" w:space="1" w:color="auto"/>
      </w:pBdr>
    </w:pPr>
  </w:style>
  <w:style w:type="paragraph" w:customStyle="1" w:styleId="HeaderOdd">
    <w:name w:val="Header Odd"/>
    <w:basedOn w:val="Header"/>
    <w:uiPriority w:val="39"/>
    <w:rsid w:val="00803C14"/>
    <w:pPr>
      <w:pBdr>
        <w:bottom w:val="single" w:sz="4" w:space="1" w:color="auto"/>
      </w:pBdr>
      <w:jc w:val="right"/>
    </w:pPr>
  </w:style>
  <w:style w:type="paragraph" w:customStyle="1" w:styleId="Bullet1">
    <w:name w:val="Bullet 1"/>
    <w:basedOn w:val="ListParagraph"/>
    <w:uiPriority w:val="38"/>
    <w:qFormat/>
    <w:rsid w:val="00803C14"/>
    <w:pPr>
      <w:numPr>
        <w:numId w:val="33"/>
      </w:numPr>
      <w:spacing w:after="0"/>
    </w:pPr>
  </w:style>
  <w:style w:type="paragraph" w:customStyle="1" w:styleId="Bullet2">
    <w:name w:val="Bullet 2"/>
    <w:basedOn w:val="ListParagraph"/>
    <w:uiPriority w:val="38"/>
    <w:qFormat/>
    <w:rsid w:val="00803C14"/>
    <w:pPr>
      <w:numPr>
        <w:ilvl w:val="1"/>
        <w:numId w:val="33"/>
      </w:numPr>
      <w:spacing w:after="0"/>
    </w:pPr>
  </w:style>
  <w:style w:type="paragraph" w:customStyle="1" w:styleId="Bullet3">
    <w:name w:val="Bullet 3"/>
    <w:basedOn w:val="ListParagraph"/>
    <w:uiPriority w:val="38"/>
    <w:qFormat/>
    <w:rsid w:val="00803C14"/>
    <w:pPr>
      <w:numPr>
        <w:ilvl w:val="2"/>
        <w:numId w:val="33"/>
      </w:numPr>
      <w:spacing w:after="0"/>
    </w:pPr>
  </w:style>
  <w:style w:type="paragraph" w:customStyle="1" w:styleId="DefaultPlaceholderSubject10">
    <w:name w:val="DefaultPlaceholder_Subject10"/>
    <w:uiPriority w:val="39"/>
    <w:rsid w:val="00803C14"/>
    <w:rPr>
      <w:i/>
      <w:color w:val="424456" w:themeColor="text2"/>
      <w:sz w:val="24"/>
      <w:szCs w:val="24"/>
    </w:rPr>
  </w:style>
  <w:style w:type="paragraph" w:customStyle="1" w:styleId="Category">
    <w:name w:val="Category"/>
    <w:basedOn w:val="Normal"/>
    <w:link w:val="CategoryChar"/>
    <w:uiPriority w:val="39"/>
    <w:qFormat/>
    <w:rsid w:val="00803C14"/>
    <w:pPr>
      <w:framePr w:hSpace="187" w:wrap="around" w:hAnchor="margin" w:xAlign="center" w:y="721"/>
      <w:spacing w:after="0" w:line="240" w:lineRule="auto"/>
    </w:pPr>
    <w:rPr>
      <w:rFonts w:cstheme="minorBidi"/>
      <w:caps/>
      <w:sz w:val="22"/>
      <w:szCs w:val="22"/>
    </w:rPr>
  </w:style>
  <w:style w:type="paragraph" w:customStyle="1" w:styleId="Comments">
    <w:name w:val="Comments"/>
    <w:basedOn w:val="Normal"/>
    <w:link w:val="CommentsChar"/>
    <w:uiPriority w:val="39"/>
    <w:qFormat/>
    <w:rsid w:val="00803C14"/>
    <w:pPr>
      <w:spacing w:after="120" w:line="240" w:lineRule="auto"/>
    </w:pPr>
    <w:rPr>
      <w:b/>
      <w:szCs w:val="22"/>
    </w:rPr>
  </w:style>
  <w:style w:type="character" w:customStyle="1" w:styleId="CategoryChar">
    <w:name w:val="Category Char"/>
    <w:basedOn w:val="DefaultParagraphFont"/>
    <w:link w:val="Category"/>
    <w:uiPriority w:val="39"/>
    <w:rsid w:val="00803C14"/>
    <w:rPr>
      <w:rFonts w:cstheme="minorBidi"/>
      <w:caps/>
      <w:lang w:eastAsia="ja-JP"/>
    </w:rPr>
  </w:style>
  <w:style w:type="character" w:customStyle="1" w:styleId="CommentsChar">
    <w:name w:val="Comments Char"/>
    <w:basedOn w:val="DefaultParagraphFont"/>
    <w:link w:val="Comments"/>
    <w:uiPriority w:val="39"/>
    <w:rsid w:val="00803C14"/>
    <w:rPr>
      <w:b/>
      <w:sz w:val="20"/>
      <w:lang w:eastAsia="ja-JP"/>
    </w:rPr>
  </w:style>
  <w:style w:type="paragraph" w:customStyle="1" w:styleId="CommentsText">
    <w:name w:val="Comments Text"/>
    <w:basedOn w:val="Normal"/>
    <w:uiPriority w:val="39"/>
    <w:qFormat/>
    <w:rsid w:val="00803C14"/>
    <w:pPr>
      <w:spacing w:after="120" w:line="288" w:lineRule="auto"/>
    </w:pPr>
    <w:rPr>
      <w:szCs w:val="22"/>
    </w:rPr>
  </w:style>
  <w:style w:type="paragraph" w:styleId="TOC1">
    <w:name w:val="toc 1"/>
    <w:basedOn w:val="Normal"/>
    <w:next w:val="Normal"/>
    <w:autoRedefine/>
    <w:uiPriority w:val="39"/>
    <w:unhideWhenUsed/>
    <w:qFormat/>
    <w:rsid w:val="00803C14"/>
    <w:rPr>
      <w:rFonts w:eastAsiaTheme="minorEastAsia" w:cstheme="minorBidi"/>
      <w:sz w:val="24"/>
      <w:szCs w:val="24"/>
    </w:rPr>
  </w:style>
  <w:style w:type="paragraph" w:styleId="TOC2">
    <w:name w:val="toc 2"/>
    <w:basedOn w:val="Normal"/>
    <w:next w:val="Normal"/>
    <w:autoRedefine/>
    <w:uiPriority w:val="39"/>
    <w:unhideWhenUsed/>
    <w:qFormat/>
    <w:rsid w:val="00803C14"/>
    <w:pPr>
      <w:ind w:left="240"/>
    </w:pPr>
    <w:rPr>
      <w:rFonts w:eastAsiaTheme="minorEastAsia" w:cstheme="minorBidi"/>
      <w:sz w:val="24"/>
      <w:szCs w:val="24"/>
    </w:rPr>
  </w:style>
  <w:style w:type="character" w:styleId="Hyperlink">
    <w:name w:val="Hyperlink"/>
    <w:basedOn w:val="DefaultParagraphFont"/>
    <w:uiPriority w:val="99"/>
    <w:unhideWhenUsed/>
    <w:rsid w:val="00803C14"/>
    <w:rPr>
      <w:color w:val="67AFBD" w:themeColor="hyperlink"/>
      <w:u w:val="single"/>
    </w:rPr>
  </w:style>
  <w:style w:type="paragraph" w:styleId="TOC3">
    <w:name w:val="toc 3"/>
    <w:basedOn w:val="Normal"/>
    <w:next w:val="Normal"/>
    <w:autoRedefine/>
    <w:uiPriority w:val="39"/>
    <w:unhideWhenUsed/>
    <w:rsid w:val="00803C14"/>
    <w:pPr>
      <w:spacing w:after="100"/>
      <w:ind w:left="400"/>
    </w:pPr>
  </w:style>
  <w:style w:type="paragraph" w:customStyle="1" w:styleId="Default">
    <w:name w:val="Default"/>
    <w:rsid w:val="00C510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esponsivenews">
    <w:name w:val="responsivenews"/>
    <w:basedOn w:val="Normal"/>
    <w:rsid w:val="00E634A8"/>
    <w:pPr>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styleId="FollowedHyperlink">
    <w:name w:val="FollowedHyperlink"/>
    <w:basedOn w:val="DefaultParagraphFont"/>
    <w:uiPriority w:val="99"/>
    <w:semiHidden/>
    <w:unhideWhenUsed/>
    <w:rsid w:val="006E32EC"/>
    <w:rPr>
      <w:color w:val="C2A874" w:themeColor="followedHyperlink"/>
      <w:u w:val="single"/>
    </w:rPr>
  </w:style>
  <w:style w:type="character" w:customStyle="1" w:styleId="articlecitationyear">
    <w:name w:val="articlecitation_year"/>
    <w:basedOn w:val="DefaultParagraphFont"/>
    <w:rsid w:val="000908B7"/>
  </w:style>
  <w:style w:type="paragraph" w:styleId="FootnoteText">
    <w:name w:val="footnote text"/>
    <w:basedOn w:val="Normal"/>
    <w:link w:val="FootnoteTextChar"/>
    <w:uiPriority w:val="99"/>
    <w:semiHidden/>
    <w:unhideWhenUsed/>
    <w:rsid w:val="00043E8C"/>
    <w:pPr>
      <w:spacing w:after="0" w:line="240" w:lineRule="auto"/>
    </w:pPr>
  </w:style>
  <w:style w:type="character" w:customStyle="1" w:styleId="FootnoteTextChar">
    <w:name w:val="Footnote Text Char"/>
    <w:basedOn w:val="DefaultParagraphFont"/>
    <w:link w:val="FootnoteText"/>
    <w:uiPriority w:val="99"/>
    <w:semiHidden/>
    <w:rsid w:val="00043E8C"/>
    <w:rPr>
      <w:sz w:val="20"/>
      <w:szCs w:val="20"/>
      <w:lang w:eastAsia="ja-JP"/>
    </w:rPr>
  </w:style>
  <w:style w:type="character" w:styleId="FootnoteReference">
    <w:name w:val="footnote reference"/>
    <w:basedOn w:val="DefaultParagraphFont"/>
    <w:uiPriority w:val="99"/>
    <w:semiHidden/>
    <w:unhideWhenUsed/>
    <w:rsid w:val="00043E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23752">
      <w:bodyDiv w:val="1"/>
      <w:marLeft w:val="0"/>
      <w:marRight w:val="0"/>
      <w:marTop w:val="0"/>
      <w:marBottom w:val="0"/>
      <w:divBdr>
        <w:top w:val="none" w:sz="0" w:space="0" w:color="auto"/>
        <w:left w:val="none" w:sz="0" w:space="0" w:color="auto"/>
        <w:bottom w:val="none" w:sz="0" w:space="0" w:color="auto"/>
        <w:right w:val="none" w:sz="0" w:space="0" w:color="auto"/>
      </w:divBdr>
    </w:div>
    <w:div w:id="747337988">
      <w:bodyDiv w:val="1"/>
      <w:marLeft w:val="0"/>
      <w:marRight w:val="0"/>
      <w:marTop w:val="0"/>
      <w:marBottom w:val="0"/>
      <w:divBdr>
        <w:top w:val="none" w:sz="0" w:space="0" w:color="auto"/>
        <w:left w:val="none" w:sz="0" w:space="0" w:color="auto"/>
        <w:bottom w:val="none" w:sz="0" w:space="0" w:color="auto"/>
        <w:right w:val="none" w:sz="0" w:space="0" w:color="auto"/>
      </w:divBdr>
      <w:divsChild>
        <w:div w:id="2060471065">
          <w:marLeft w:val="0"/>
          <w:marRight w:val="0"/>
          <w:marTop w:val="0"/>
          <w:marBottom w:val="0"/>
          <w:divBdr>
            <w:top w:val="none" w:sz="0" w:space="0" w:color="auto"/>
            <w:left w:val="none" w:sz="0" w:space="0" w:color="auto"/>
            <w:bottom w:val="none" w:sz="0" w:space="0" w:color="auto"/>
            <w:right w:val="none" w:sz="0" w:space="0" w:color="auto"/>
          </w:divBdr>
        </w:div>
      </w:divsChild>
    </w:div>
    <w:div w:id="178719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image" Target="media/image6.jpg"/><Relationship Id="rId26"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image" Target="media/image50.jp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7.jp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80.jpg"/><Relationship Id="rId5" Type="http://schemas.openxmlformats.org/officeDocument/2006/relationships/numbering" Target="numbering.xml"/><Relationship Id="rId15" Type="http://schemas.openxmlformats.org/officeDocument/2006/relationships/image" Target="media/image4.jpg"/><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60.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7" Type="http://schemas.openxmlformats.org/officeDocument/2006/relationships/footer" Target="foot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sciencedirect.com/science/article/pii/S0168192312003024" TargetMode="External"/><Relationship Id="rId13" Type="http://schemas.openxmlformats.org/officeDocument/2006/relationships/hyperlink" Target="https://www.sciencedirect.com/science/article/pii/S092181811930102X" TargetMode="External"/><Relationship Id="rId18" Type="http://schemas.openxmlformats.org/officeDocument/2006/relationships/hyperlink" Target="http://statisticstimes.com/economy/gross-world-product.php" TargetMode="External"/><Relationship Id="rId3" Type="http://schemas.openxmlformats.org/officeDocument/2006/relationships/hyperlink" Target="https://science.sciencemag.org/content/363/6422/70" TargetMode="External"/><Relationship Id="rId7" Type="http://schemas.openxmlformats.org/officeDocument/2006/relationships/hyperlink" Target="https://climexp.knmi.nl/select.cgi?id=someone@somewhere&amp;field=ghcn_cams_25" TargetMode="External"/><Relationship Id="rId12" Type="http://schemas.openxmlformats.org/officeDocument/2006/relationships/hyperlink" Target="https://rmets.onlinelibrary.wiley.com/doi/epdf/10.1002/joc.1292" TargetMode="External"/><Relationship Id="rId17" Type="http://schemas.openxmlformats.org/officeDocument/2006/relationships/hyperlink" Target="https://link.springer.com/article/10.1007/s10018-020-00263-w" TargetMode="External"/><Relationship Id="rId2" Type="http://schemas.openxmlformats.org/officeDocument/2006/relationships/hyperlink" Target="https://doi.org/10.1029/2011GL048076" TargetMode="External"/><Relationship Id="rId16" Type="http://schemas.openxmlformats.org/officeDocument/2006/relationships/hyperlink" Target="https://friendsofscience.org/index.php?id=2515" TargetMode="External"/><Relationship Id="rId20" Type="http://schemas.openxmlformats.org/officeDocument/2006/relationships/hyperlink" Target="https://github.com/boozallen/argo/wiki" TargetMode="External"/><Relationship Id="rId1" Type="http://schemas.openxmlformats.org/officeDocument/2006/relationships/hyperlink" Target="https://niclewis.files.wordpress.com/2018/04/lewis_and_curry_jcli-d-17-0667_accepted.pdf" TargetMode="External"/><Relationship Id="rId6" Type="http://schemas.openxmlformats.org/officeDocument/2006/relationships/hyperlink" Target="https://www.thegwpf.org/content/uploads/2019/03/SvensmarkSolar2019-1.pdf" TargetMode="External"/><Relationship Id="rId11" Type="http://schemas.openxmlformats.org/officeDocument/2006/relationships/hyperlink" Target="https://www.rossmckitrick.com/uploads/4/8/0/8/4808045/m_m.jgrdec07.pdf" TargetMode="External"/><Relationship Id="rId5" Type="http://schemas.openxmlformats.org/officeDocument/2006/relationships/hyperlink" Target="https://friendsofscience.org/index.php?id=2517" TargetMode="External"/><Relationship Id="rId15" Type="http://schemas.openxmlformats.org/officeDocument/2006/relationships/hyperlink" Target="https://www.mdpi.com/1996-1073/12/18/3575" TargetMode="External"/><Relationship Id="rId10" Type="http://schemas.openxmlformats.org/officeDocument/2006/relationships/hyperlink" Target="https://friendsofscience.org/index.php?id=396" TargetMode="External"/><Relationship Id="rId19" Type="http://schemas.openxmlformats.org/officeDocument/2006/relationships/hyperlink" Target="https://friendsofscience.org/assets/files/Lewis_Curry_Gregory_ECS_TCR-cl.xlsx" TargetMode="External"/><Relationship Id="rId4" Type="http://schemas.openxmlformats.org/officeDocument/2006/relationships/hyperlink" Target="https://www.mdpi.com/2072-4292/11/21/2569/htm" TargetMode="External"/><Relationship Id="rId9" Type="http://schemas.openxmlformats.org/officeDocument/2006/relationships/hyperlink" Target="http://www.friendsofscience.org/index.php?id=2205" TargetMode="External"/><Relationship Id="rId14" Type="http://schemas.openxmlformats.org/officeDocument/2006/relationships/hyperlink" Target="https://www.esrl.noaa.gov/gmd/aggi/aggi.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elle\AppData\Roaming\Microsoft\Templates\Report%20(Urban%20theme)(2).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100000" r="280000" b="28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100000" r="280000" b="28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2016-02-05T00:00:00</PublishDate>
  <Abstract/>
  <CompanyAddress/>
  <CompanyPhone/>
  <CompanyFax/>
  <CompanyEmail/>
</CoverPageProperties>
</file>

<file path=customXml/item2.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55297A3-F999-42B8-B2C1-CB5E6CFA54CD}">
  <ds:schemaRefs>
    <ds:schemaRef ds:uri="http://schemas.microsoft.com/office/2006/customDocumentInformationPanel"/>
  </ds:schemaRefs>
</ds:datastoreItem>
</file>

<file path=customXml/itemProps3.xml><?xml version="1.0" encoding="utf-8"?>
<ds:datastoreItem xmlns:ds="http://schemas.openxmlformats.org/officeDocument/2006/customXml" ds:itemID="{234532E5-2547-41BC-8EAA-2957FD248C62}">
  <ds:schemaRefs>
    <ds:schemaRef ds:uri="http://schemas.microsoft.com/sharepoint/v3/contenttype/forms"/>
  </ds:schemaRefs>
</ds:datastoreItem>
</file>

<file path=customXml/itemProps4.xml><?xml version="1.0" encoding="utf-8"?>
<ds:datastoreItem xmlns:ds="http://schemas.openxmlformats.org/officeDocument/2006/customXml" ds:itemID="{B7092F59-2A59-4462-8CDF-BC90365A2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(Urban theme)(2).dotx</Template>
  <TotalTime>864</TotalTime>
  <Pages>14</Pages>
  <Words>3916</Words>
  <Characters>20795</Characters>
  <Application>Microsoft Office Word</Application>
  <DocSecurity>0</DocSecurity>
  <Lines>399</Lines>
  <Paragraphs>159</Paragraphs>
  <ScaleCrop>false</ScaleCrop>
  <HeadingPairs>
    <vt:vector size="2" baseType="variant">
      <vt:variant>
        <vt:lpstr>Title</vt:lpstr>
      </vt:variant>
      <vt:variant>
        <vt:i4>1</vt:i4>
      </vt:variant>
    </vt:vector>
  </HeadingPairs>
  <TitlesOfParts>
    <vt:vector size="1" baseType="lpstr">
      <vt:lpstr>Climate Sensitivity by Energy Balance</vt:lpstr>
    </vt:vector>
  </TitlesOfParts>
  <Company/>
  <LinksUpToDate>false</LinksUpToDate>
  <CharactersWithSpaces>24552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 Sensitivity by Energy Balance</dc:title>
  <dc:subject>The Economic Impact of Greenhouse Gas Emissions</dc:subject>
  <dc:creator>Ken Gregory, P.Eng. Friends of Science</dc:creator>
  <dc:description>corrections to Lewis and Curry 2018</dc:description>
  <cp:lastModifiedBy>Ken</cp:lastModifiedBy>
  <cp:revision>13</cp:revision>
  <dcterms:created xsi:type="dcterms:W3CDTF">2020-06-13T18:24:00Z</dcterms:created>
  <dcterms:modified xsi:type="dcterms:W3CDTF">2020-06-22T18:09:00Z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TC101927579990</vt:lpwstr>
  </property>
</Properties>
</file>